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B8" w:rsidRPr="003D7092" w:rsidRDefault="00956EDA" w:rsidP="003141F5">
      <w:pPr>
        <w:spacing w:after="0" w:line="240" w:lineRule="auto"/>
        <w:jc w:val="center"/>
        <w:rPr>
          <w:bCs/>
          <w:sz w:val="24"/>
          <w:szCs w:val="24"/>
        </w:rPr>
      </w:pPr>
      <w:r>
        <w:rPr>
          <w:noProof/>
        </w:rPr>
        <w:drawing>
          <wp:inline distT="0" distB="0" distL="0" distR="0">
            <wp:extent cx="552450" cy="552450"/>
            <wp:effectExtent l="0" t="0" r="0" b="0"/>
            <wp:docPr id="4" name="Picture 4" descr="D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S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r w:rsidR="003141F5">
        <w:rPr>
          <w:bCs/>
          <w:sz w:val="24"/>
          <w:szCs w:val="24"/>
        </w:rPr>
        <w:t xml:space="preserve">                                                                                                                               </w:t>
      </w:r>
      <w:r w:rsidR="003141F5" w:rsidRPr="003141F5">
        <w:rPr>
          <w:bCs/>
          <w:noProof/>
          <w:sz w:val="24"/>
          <w:szCs w:val="24"/>
        </w:rPr>
        <w:drawing>
          <wp:inline distT="0" distB="0" distL="0" distR="0">
            <wp:extent cx="453601" cy="371475"/>
            <wp:effectExtent l="0" t="0" r="381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516" cy="373043"/>
                    </a:xfrm>
                    <a:prstGeom prst="rect">
                      <a:avLst/>
                    </a:prstGeom>
                    <a:noFill/>
                  </pic:spPr>
                </pic:pic>
              </a:graphicData>
            </a:graphic>
          </wp:inline>
        </w:drawing>
      </w:r>
    </w:p>
    <w:p w:rsidR="00956EDA" w:rsidRDefault="003141F5" w:rsidP="00FF3ACD">
      <w:pPr>
        <w:spacing w:after="0" w:line="240" w:lineRule="auto"/>
        <w:ind w:left="-851"/>
        <w:jc w:val="center"/>
        <w:rPr>
          <w:bCs/>
          <w:sz w:val="24"/>
          <w:szCs w:val="24"/>
        </w:rPr>
      </w:pPr>
      <w:r>
        <w:rPr>
          <w:bCs/>
          <w:sz w:val="24"/>
          <w:szCs w:val="24"/>
        </w:rPr>
        <w:t xml:space="preserve"> </w:t>
      </w:r>
    </w:p>
    <w:p w:rsidR="00324AB8" w:rsidRPr="003D7092" w:rsidRDefault="00324AB8" w:rsidP="00FF3ACD">
      <w:pPr>
        <w:spacing w:after="0" w:line="240" w:lineRule="auto"/>
        <w:ind w:left="-851"/>
        <w:jc w:val="center"/>
        <w:rPr>
          <w:bCs/>
          <w:sz w:val="24"/>
          <w:szCs w:val="24"/>
        </w:rPr>
      </w:pPr>
      <w:r w:rsidRPr="003D7092">
        <w:rPr>
          <w:bCs/>
          <w:sz w:val="24"/>
          <w:szCs w:val="24"/>
        </w:rPr>
        <w:t>Termes de référence</w:t>
      </w:r>
    </w:p>
    <w:p w:rsidR="00956EDA" w:rsidRDefault="00956EDA" w:rsidP="00B20159">
      <w:pPr>
        <w:spacing w:after="0" w:line="240" w:lineRule="auto"/>
        <w:jc w:val="center"/>
        <w:rPr>
          <w:b/>
          <w:sz w:val="24"/>
          <w:szCs w:val="24"/>
        </w:rPr>
      </w:pPr>
    </w:p>
    <w:p w:rsidR="00324AB8" w:rsidRPr="003D7092" w:rsidRDefault="00324AB8" w:rsidP="00B20159">
      <w:pPr>
        <w:spacing w:after="0" w:line="240" w:lineRule="auto"/>
        <w:jc w:val="center"/>
        <w:rPr>
          <w:bCs/>
          <w:sz w:val="24"/>
          <w:szCs w:val="24"/>
        </w:rPr>
      </w:pPr>
      <w:r w:rsidRPr="003D7092">
        <w:rPr>
          <w:b/>
          <w:sz w:val="24"/>
          <w:szCs w:val="24"/>
        </w:rPr>
        <w:t xml:space="preserve">Recrutement </w:t>
      </w:r>
      <w:r w:rsidR="00F54393" w:rsidRPr="003D7092">
        <w:rPr>
          <w:b/>
          <w:sz w:val="24"/>
          <w:szCs w:val="24"/>
        </w:rPr>
        <w:t>d’un</w:t>
      </w:r>
      <w:r w:rsidR="00B20159">
        <w:rPr>
          <w:b/>
          <w:sz w:val="24"/>
          <w:szCs w:val="24"/>
        </w:rPr>
        <w:t>(e)</w:t>
      </w:r>
      <w:r w:rsidRPr="003D7092">
        <w:rPr>
          <w:b/>
          <w:sz w:val="24"/>
          <w:szCs w:val="24"/>
        </w:rPr>
        <w:t>consultant</w:t>
      </w:r>
      <w:r w:rsidR="00B20159">
        <w:rPr>
          <w:b/>
          <w:sz w:val="24"/>
          <w:szCs w:val="24"/>
        </w:rPr>
        <w:t>(e)</w:t>
      </w:r>
      <w:r w:rsidRPr="003D7092">
        <w:rPr>
          <w:b/>
          <w:sz w:val="24"/>
          <w:szCs w:val="24"/>
        </w:rPr>
        <w:t xml:space="preserve"> nation</w:t>
      </w:r>
      <w:r w:rsidR="00F54393" w:rsidRPr="003D7092">
        <w:rPr>
          <w:b/>
          <w:sz w:val="24"/>
          <w:szCs w:val="24"/>
        </w:rPr>
        <w:t>al</w:t>
      </w:r>
      <w:r w:rsidR="00B20159">
        <w:rPr>
          <w:b/>
          <w:sz w:val="24"/>
          <w:szCs w:val="24"/>
        </w:rPr>
        <w:t>(e)</w:t>
      </w:r>
      <w:r w:rsidRPr="003D7092">
        <w:rPr>
          <w:b/>
          <w:sz w:val="24"/>
          <w:szCs w:val="24"/>
        </w:rPr>
        <w:t xml:space="preserve"> pour </w:t>
      </w:r>
      <w:r w:rsidR="00B20159">
        <w:rPr>
          <w:b/>
          <w:sz w:val="24"/>
          <w:szCs w:val="24"/>
        </w:rPr>
        <w:t xml:space="preserve">développer la stratégie nationale de santé maternelle et néonatale </w:t>
      </w:r>
    </w:p>
    <w:p w:rsidR="00262B18" w:rsidRPr="003D7092" w:rsidRDefault="00262B18" w:rsidP="00FF3ACD">
      <w:pPr>
        <w:spacing w:after="0" w:line="240" w:lineRule="auto"/>
        <w:rPr>
          <w:b/>
          <w:bCs/>
          <w:sz w:val="24"/>
          <w:szCs w:val="24"/>
          <w:u w:val="single"/>
        </w:rPr>
      </w:pPr>
    </w:p>
    <w:p w:rsidR="00EC37E2" w:rsidRDefault="00EC37E2" w:rsidP="00FF3ACD">
      <w:pPr>
        <w:spacing w:after="0" w:line="240" w:lineRule="auto"/>
        <w:jc w:val="both"/>
        <w:rPr>
          <w:b/>
          <w:bCs/>
          <w:sz w:val="24"/>
          <w:szCs w:val="24"/>
          <w:u w:val="single"/>
        </w:rPr>
      </w:pPr>
    </w:p>
    <w:p w:rsidR="00EC37E2" w:rsidRDefault="00EC37E2" w:rsidP="00FF3ACD">
      <w:pPr>
        <w:spacing w:after="0" w:line="240" w:lineRule="auto"/>
        <w:jc w:val="both"/>
        <w:rPr>
          <w:b/>
          <w:bCs/>
          <w:sz w:val="24"/>
          <w:szCs w:val="24"/>
          <w:u w:val="single"/>
        </w:rPr>
      </w:pPr>
    </w:p>
    <w:p w:rsidR="00EC37E2" w:rsidRPr="00D36DEB" w:rsidRDefault="00EC37E2" w:rsidP="00EC37E2">
      <w:pPr>
        <w:jc w:val="both"/>
        <w:rPr>
          <w:b/>
          <w:bCs/>
          <w:sz w:val="24"/>
          <w:szCs w:val="24"/>
          <w:u w:val="single"/>
        </w:rPr>
      </w:pPr>
      <w:r w:rsidRPr="00D36DEB">
        <w:rPr>
          <w:b/>
          <w:bCs/>
          <w:sz w:val="24"/>
          <w:szCs w:val="24"/>
          <w:u w:val="single"/>
        </w:rPr>
        <w:t xml:space="preserve">Justificatifs </w:t>
      </w:r>
    </w:p>
    <w:p w:rsidR="00EC37E2" w:rsidRPr="00D36DEB" w:rsidRDefault="00EC37E2" w:rsidP="00EC37E2">
      <w:pPr>
        <w:jc w:val="both"/>
        <w:rPr>
          <w:rFonts w:eastAsia="Times New Roman" w:cs="Times New Roman"/>
          <w:sz w:val="24"/>
          <w:szCs w:val="24"/>
          <w:lang w:eastAsia="en-US"/>
        </w:rPr>
      </w:pPr>
      <w:r w:rsidRPr="00D36DEB">
        <w:rPr>
          <w:rFonts w:eastAsia="Times New Roman" w:cs="Times New Roman"/>
          <w:sz w:val="24"/>
          <w:szCs w:val="24"/>
          <w:lang w:eastAsia="en-US"/>
        </w:rPr>
        <w:t xml:space="preserve">La Tunisie a pu enregistrer au cours de ces dernières décennies des acquis considérables grâce à une stratégie de développement social, axée sur les composantes économique et sociale se traduisant par des dépenses publiques de plus de 30% de PNB, des dépenses sociales, éducation et santé en particulier de l’ordre de 20% du PNB et la meilleure gestion des déterminants sociaux de santé (habitat, environnement salubre, eau potable, alimentation, scolarisation, travail, …) . Dans le domaine de la santé, la Tunisie a développé son système par l’extension de l’infrastructure dans les secteurs public et privé, la généralisation de la couverture sanitaire à travers la mise en œuvre de la stratégie des soins de santé de base et l’engagement des reformes du système de santé et d’assurance maladie, d’amélioration de la qualité des services et de la maîtrise des dépenses de santé. </w:t>
      </w:r>
    </w:p>
    <w:p w:rsidR="00EC37E2" w:rsidRPr="00D36DEB" w:rsidRDefault="00EC37E2" w:rsidP="00EC37E2">
      <w:pPr>
        <w:jc w:val="both"/>
        <w:rPr>
          <w:rFonts w:eastAsia="Times New Roman" w:cs="Times New Roman"/>
          <w:sz w:val="24"/>
          <w:szCs w:val="24"/>
          <w:lang w:eastAsia="en-US"/>
        </w:rPr>
      </w:pPr>
      <w:r w:rsidRPr="00D36DEB">
        <w:rPr>
          <w:rFonts w:eastAsia="Times New Roman" w:cs="Times New Roman"/>
          <w:sz w:val="24"/>
          <w:szCs w:val="24"/>
          <w:lang w:eastAsia="en-US"/>
        </w:rPr>
        <w:t xml:space="preserve">La résultante de cette politique est que la Tunisie est considérée actuellement comme l’un des pays à revenu intermédiaire qui ont le plus réussi leur transition socio-économique et qui a convergé progressivement vers les niveaux de revenus des pays développés comme en témoigne les données de l’INS : Dépenses annuelles moyennes par ménage ont passé de 2665 DT en 1985 à 8211 en 2005, le développement urbain, la régression de l’analphabétisme et une généralisation de la scolarisation chez les garçons comme chez les filles. </w:t>
      </w:r>
    </w:p>
    <w:p w:rsidR="00EC37E2" w:rsidRPr="00D36DEB" w:rsidRDefault="00EC37E2" w:rsidP="00EC37E2">
      <w:pPr>
        <w:jc w:val="both"/>
        <w:rPr>
          <w:rFonts w:eastAsia="Times New Roman" w:cs="Times New Roman"/>
          <w:sz w:val="24"/>
          <w:szCs w:val="24"/>
          <w:lang w:eastAsia="en-US"/>
        </w:rPr>
      </w:pPr>
      <w:r w:rsidRPr="00D36DEB">
        <w:rPr>
          <w:rFonts w:eastAsia="Times New Roman" w:cs="Times New Roman"/>
          <w:sz w:val="24"/>
          <w:szCs w:val="24"/>
          <w:lang w:eastAsia="en-US"/>
        </w:rPr>
        <w:t xml:space="preserve">Concernant les indicateurs de santé, on enregistre une amélioration continue des indicateurs globaux comme le reflètent l’allongement de l’espérance de vie à la naissance, l’éradication ou la maîtrise de plusieurs maladies endémiques et la diminution notable des taux de mortalité infantile (TMI), mortalité juvénile (TMJ), mortalité maternelle (TMM). Ces avancées sont jugées nettement meilleures par rapport aux autres pays qui ont un niveau comparable de revenu et de dépenses de santé et la plupart des </w:t>
      </w:r>
      <w:r w:rsidRPr="00D36DEB">
        <w:rPr>
          <w:rFonts w:eastAsia="Times New Roman" w:cs="Times New Roman"/>
          <w:sz w:val="24"/>
          <w:szCs w:val="24"/>
          <w:lang w:eastAsia="en-US"/>
        </w:rPr>
        <w:lastRenderedPageBreak/>
        <w:t xml:space="preserve">objectifs du millénaire pour le développement (OMD) fixés par la communauté internationale pour l’horizon 2015, sont en passe d’être atteints.                 </w:t>
      </w:r>
    </w:p>
    <w:p w:rsidR="00EC37E2" w:rsidRPr="00D36DEB" w:rsidRDefault="00EC37E2" w:rsidP="00EC37E2">
      <w:pPr>
        <w:jc w:val="both"/>
        <w:rPr>
          <w:rFonts w:eastAsia="Times New Roman" w:cs="Times New Roman"/>
          <w:sz w:val="24"/>
          <w:szCs w:val="24"/>
          <w:lang w:eastAsia="en-US"/>
        </w:rPr>
      </w:pPr>
      <w:r w:rsidRPr="00D36DEB">
        <w:rPr>
          <w:rFonts w:eastAsia="Times New Roman" w:cs="Times New Roman"/>
          <w:sz w:val="24"/>
          <w:szCs w:val="24"/>
          <w:lang w:eastAsia="en-US"/>
        </w:rPr>
        <w:t>En dépit des efforts consentis dans le domaine de la santé et plus particulièrement celui de la santé de la femme et de l'enfant, le taux de mortalité maternelle se situe encore à un niveau relativement élevé. Même si ce taux reste parmi les moins élevé de la région MENA, le premier rapport national sur les Objectifs du Millénaire pour le Développement publié en 2014 a déjà insisté sur le fait que la Tunisie ne pourra pas atteindre l'objectif de réduire de trois quarts, entre 1990 et 2015, le taux de mortalité maternelle.</w:t>
      </w:r>
    </w:p>
    <w:p w:rsidR="00EC37E2" w:rsidRPr="00D36DEB" w:rsidRDefault="00EC37E2" w:rsidP="00EC37E2">
      <w:pPr>
        <w:jc w:val="both"/>
        <w:rPr>
          <w:rFonts w:eastAsia="Times New Roman" w:cs="Times New Roman"/>
          <w:sz w:val="24"/>
          <w:szCs w:val="24"/>
          <w:lang w:eastAsia="en-US"/>
        </w:rPr>
      </w:pPr>
      <w:r w:rsidRPr="00D36DEB">
        <w:rPr>
          <w:rFonts w:eastAsia="Times New Roman" w:cs="Times New Roman"/>
          <w:sz w:val="24"/>
          <w:szCs w:val="24"/>
          <w:lang w:eastAsia="en-US"/>
        </w:rPr>
        <w:t>En 2011, selon les résultats de l'enquête MICS 4, le taux de mortalité des enfants avant d'atteindre l'âge de 5 ans est 19,4 pour mille, contre 52,8 pour mille en 1990. L'objectif de réduire des deux tiers le taux de mortalité des enfants de moins de 5 ans serait atteint si la Tunisie réussit à réduire ce taux d'au moins 2 points d'ici 2015</w:t>
      </w:r>
    </w:p>
    <w:p w:rsidR="00EC37E2" w:rsidRPr="00D36DEB" w:rsidRDefault="00EC37E2" w:rsidP="00EC37E2">
      <w:pPr>
        <w:spacing w:after="0"/>
        <w:jc w:val="both"/>
        <w:rPr>
          <w:rFonts w:eastAsia="Times New Roman" w:cs="Times New Roman"/>
          <w:sz w:val="24"/>
          <w:szCs w:val="24"/>
          <w:lang w:eastAsia="en-US"/>
        </w:rPr>
      </w:pPr>
      <w:r w:rsidRPr="00D36DEB">
        <w:rPr>
          <w:rFonts w:eastAsia="Times New Roman" w:cs="Times New Roman"/>
          <w:sz w:val="24"/>
          <w:szCs w:val="24"/>
          <w:lang w:eastAsia="en-US"/>
        </w:rPr>
        <w:t xml:space="preserve">L’année 2015 est une année importante dans la mesure où elle sera marquée par le lancement des objectifs du développement durables (ODDs) ; ce nouveau cadre de développement constituera une opportunité pour la Tunisie pour doubler  les efforts  afin d’accélérer la réduction de la mortalité maternelle et néonatale ; les différentes études et évaluations conduites ces dernières années en matière de SMNN ont insisté de la nécessité de disposer (1) d’une nouvelle vision en matière de SMNN, (2) d’une stratégie qui devra s’aligner à un élan national de promotion de la femme tunisienne, la préservation des nouveaux nés, aux efforts de réduction des inégalités sociales et territoriales, à l’optimisation des ressources disponibles et la reddition des comptes dans l’usage des ressources nationales, et finalement (3) d’une approche qui prenne en compte les déterminants socio politiques dont la capacité financière des ménages et celles du pays, l’exercice du droit à la santé, consacré dans la constitution, le respect des droits humains de la femme et de l’enfant.  </w:t>
      </w:r>
    </w:p>
    <w:p w:rsidR="00EC37E2" w:rsidRPr="00D36DEB" w:rsidRDefault="00EC37E2" w:rsidP="00EC37E2">
      <w:pPr>
        <w:spacing w:after="0"/>
        <w:jc w:val="both"/>
        <w:rPr>
          <w:rFonts w:eastAsia="Times New Roman" w:cs="Times New Roman"/>
          <w:sz w:val="24"/>
          <w:szCs w:val="24"/>
          <w:lang w:eastAsia="en-US"/>
        </w:rPr>
      </w:pPr>
    </w:p>
    <w:p w:rsidR="00EC37E2" w:rsidRPr="00D36DEB" w:rsidRDefault="00EC37E2" w:rsidP="00EC37E2">
      <w:pPr>
        <w:spacing w:after="0"/>
        <w:jc w:val="both"/>
        <w:rPr>
          <w:rFonts w:eastAsia="Times New Roman" w:cs="Times New Roman"/>
          <w:sz w:val="24"/>
          <w:szCs w:val="24"/>
          <w:lang w:eastAsia="en-US"/>
        </w:rPr>
      </w:pPr>
      <w:r>
        <w:rPr>
          <w:rFonts w:eastAsia="Times New Roman" w:cs="Times New Roman"/>
          <w:sz w:val="24"/>
          <w:szCs w:val="24"/>
          <w:lang w:eastAsia="en-US"/>
        </w:rPr>
        <w:t xml:space="preserve">C’est dans ce cadre, qu’un programme conjoint en santé maternelle et néonatale a été développé et signé en 2015 entre le Ministère de la Santé et le système des Nations Unies en Tunisie. Ce programme a permis d’appuyer le développement de plusieurs études, revues et analyses sur la question de la SMNN en Tunisie. Ce programme conjoint vise également à doter le pays d’une nouvelle stratégie en santé maternelle et néonatale qui remplace l’ancienne stratégie de réduction de la mortalité maternelle.  </w:t>
      </w:r>
    </w:p>
    <w:p w:rsidR="00EC37E2" w:rsidRDefault="00EC37E2" w:rsidP="00FF3ACD">
      <w:pPr>
        <w:spacing w:after="0" w:line="240" w:lineRule="auto"/>
        <w:jc w:val="both"/>
        <w:rPr>
          <w:b/>
          <w:bCs/>
          <w:sz w:val="24"/>
          <w:szCs w:val="24"/>
          <w:u w:val="single"/>
        </w:rPr>
      </w:pPr>
    </w:p>
    <w:p w:rsidR="00EC37E2" w:rsidRDefault="00EC37E2" w:rsidP="00FF3ACD">
      <w:pPr>
        <w:spacing w:after="0" w:line="240" w:lineRule="auto"/>
        <w:jc w:val="both"/>
        <w:rPr>
          <w:b/>
          <w:bCs/>
          <w:sz w:val="24"/>
          <w:szCs w:val="24"/>
          <w:u w:val="single"/>
        </w:rPr>
      </w:pPr>
    </w:p>
    <w:p w:rsidR="00EC37E2" w:rsidRDefault="00EC37E2" w:rsidP="00FF3ACD">
      <w:pPr>
        <w:spacing w:after="0" w:line="240" w:lineRule="auto"/>
        <w:jc w:val="both"/>
        <w:rPr>
          <w:b/>
          <w:bCs/>
          <w:sz w:val="24"/>
          <w:szCs w:val="24"/>
          <w:u w:val="single"/>
        </w:rPr>
      </w:pPr>
    </w:p>
    <w:p w:rsidR="00EC37E2" w:rsidRDefault="00EC37E2" w:rsidP="00FF3ACD">
      <w:pPr>
        <w:spacing w:after="0" w:line="240" w:lineRule="auto"/>
        <w:jc w:val="both"/>
        <w:rPr>
          <w:b/>
          <w:bCs/>
          <w:sz w:val="24"/>
          <w:szCs w:val="24"/>
          <w:u w:val="single"/>
        </w:rPr>
      </w:pPr>
    </w:p>
    <w:p w:rsidR="00C02A73" w:rsidRDefault="00C02A73" w:rsidP="00FF3ACD">
      <w:pPr>
        <w:spacing w:after="0" w:line="240" w:lineRule="auto"/>
        <w:jc w:val="both"/>
        <w:rPr>
          <w:b/>
          <w:bCs/>
          <w:sz w:val="24"/>
          <w:szCs w:val="24"/>
          <w:u w:val="single"/>
        </w:rPr>
      </w:pPr>
    </w:p>
    <w:p w:rsidR="00EC37E2" w:rsidRDefault="00EC37E2" w:rsidP="00FF3ACD">
      <w:pPr>
        <w:spacing w:after="0" w:line="240" w:lineRule="auto"/>
        <w:jc w:val="both"/>
        <w:rPr>
          <w:b/>
          <w:bCs/>
          <w:sz w:val="24"/>
          <w:szCs w:val="24"/>
          <w:u w:val="single"/>
        </w:rPr>
      </w:pPr>
    </w:p>
    <w:p w:rsidR="00324AB8" w:rsidRPr="003D7092" w:rsidRDefault="00FF3ACD" w:rsidP="00FF3ACD">
      <w:pPr>
        <w:spacing w:after="0" w:line="240" w:lineRule="auto"/>
        <w:jc w:val="both"/>
        <w:rPr>
          <w:b/>
          <w:sz w:val="24"/>
          <w:szCs w:val="24"/>
        </w:rPr>
      </w:pPr>
      <w:r w:rsidRPr="003D7092">
        <w:rPr>
          <w:b/>
          <w:bCs/>
          <w:sz w:val="24"/>
          <w:szCs w:val="24"/>
          <w:u w:val="single"/>
        </w:rPr>
        <w:lastRenderedPageBreak/>
        <w:t>CADRE GENERAL</w:t>
      </w:r>
      <w:r w:rsidRPr="003D7092">
        <w:rPr>
          <w:b/>
          <w:sz w:val="24"/>
          <w:szCs w:val="24"/>
        </w:rPr>
        <w:t> :</w:t>
      </w:r>
    </w:p>
    <w:p w:rsidR="00B20159" w:rsidRDefault="00B20159" w:rsidP="00B20159">
      <w:pPr>
        <w:pStyle w:val="Retraitcorpsdetexte2"/>
        <w:spacing w:after="0" w:line="240" w:lineRule="auto"/>
        <w:ind w:left="0" w:firstLine="284"/>
        <w:jc w:val="both"/>
        <w:rPr>
          <w:rFonts w:asciiTheme="minorHAnsi" w:hAnsiTheme="minorHAnsi"/>
        </w:rPr>
      </w:pPr>
    </w:p>
    <w:p w:rsidR="00324AB8" w:rsidRPr="003D7092" w:rsidRDefault="00324AB8" w:rsidP="00B20159">
      <w:pPr>
        <w:pStyle w:val="Retraitcorpsdetexte2"/>
        <w:spacing w:after="0" w:line="240" w:lineRule="auto"/>
        <w:ind w:left="0" w:firstLine="284"/>
        <w:jc w:val="both"/>
        <w:rPr>
          <w:rFonts w:asciiTheme="minorHAnsi" w:hAnsiTheme="minorHAnsi"/>
        </w:rPr>
      </w:pPr>
      <w:r w:rsidRPr="003D7092">
        <w:rPr>
          <w:rFonts w:asciiTheme="minorHAnsi" w:hAnsiTheme="minorHAnsi"/>
        </w:rPr>
        <w:t xml:space="preserve">Cette consultation s’inscrit dans le cadre du </w:t>
      </w:r>
      <w:r w:rsidR="00B20159">
        <w:rPr>
          <w:rFonts w:asciiTheme="minorHAnsi" w:hAnsiTheme="minorHAnsi"/>
        </w:rPr>
        <w:t>programme conjoint en santé maternelle et néonatale 2015-2019</w:t>
      </w:r>
      <w:r w:rsidRPr="003D7092">
        <w:rPr>
          <w:rFonts w:asciiTheme="minorHAnsi" w:hAnsiTheme="minorHAnsi"/>
        </w:rPr>
        <w:t xml:space="preserve">, engagé par le ministère de la santé et </w:t>
      </w:r>
      <w:r w:rsidR="00B20159">
        <w:rPr>
          <w:rFonts w:asciiTheme="minorHAnsi" w:hAnsiTheme="minorHAnsi"/>
        </w:rPr>
        <w:t>le Système des Nations Unies (</w:t>
      </w:r>
      <w:r w:rsidRPr="003D7092">
        <w:rPr>
          <w:rFonts w:asciiTheme="minorHAnsi" w:hAnsiTheme="minorHAnsi"/>
        </w:rPr>
        <w:t>UNFPA</w:t>
      </w:r>
      <w:r w:rsidR="00B20159">
        <w:rPr>
          <w:rFonts w:asciiTheme="minorHAnsi" w:hAnsiTheme="minorHAnsi"/>
        </w:rPr>
        <w:t>, OMS, ONUSIDA et UNICEF)</w:t>
      </w:r>
      <w:r w:rsidRPr="003D7092">
        <w:rPr>
          <w:rFonts w:asciiTheme="minorHAnsi" w:hAnsiTheme="minorHAnsi"/>
        </w:rPr>
        <w:t>.</w:t>
      </w:r>
    </w:p>
    <w:p w:rsidR="00B20159" w:rsidRDefault="00B20159" w:rsidP="00FF3ACD">
      <w:pPr>
        <w:pStyle w:val="Corpsdetexte"/>
        <w:spacing w:after="0" w:line="240" w:lineRule="auto"/>
        <w:ind w:firstLine="284"/>
        <w:jc w:val="both"/>
        <w:rPr>
          <w:rFonts w:asciiTheme="minorHAnsi" w:hAnsiTheme="minorHAnsi"/>
          <w:bCs/>
          <w:spacing w:val="0"/>
          <w:szCs w:val="24"/>
        </w:rPr>
      </w:pPr>
    </w:p>
    <w:p w:rsidR="00262B18" w:rsidRPr="003D7092" w:rsidRDefault="00324AB8" w:rsidP="008004D2">
      <w:pPr>
        <w:pStyle w:val="Corpsdetexte"/>
        <w:spacing w:after="0" w:line="240" w:lineRule="auto"/>
        <w:ind w:firstLine="284"/>
        <w:jc w:val="both"/>
        <w:rPr>
          <w:rFonts w:asciiTheme="minorHAnsi" w:hAnsiTheme="minorHAnsi"/>
          <w:bCs/>
          <w:spacing w:val="0"/>
          <w:szCs w:val="24"/>
        </w:rPr>
      </w:pPr>
      <w:r w:rsidRPr="003D7092">
        <w:rPr>
          <w:rFonts w:asciiTheme="minorHAnsi" w:hAnsiTheme="minorHAnsi"/>
          <w:bCs/>
          <w:spacing w:val="0"/>
          <w:szCs w:val="24"/>
        </w:rPr>
        <w:t>Dans le  cadre de la mise en œuvre du plan de travail annuel 2017</w:t>
      </w:r>
      <w:r w:rsidR="00B20159">
        <w:rPr>
          <w:rFonts w:asciiTheme="minorHAnsi" w:hAnsiTheme="minorHAnsi"/>
          <w:bCs/>
          <w:spacing w:val="0"/>
          <w:szCs w:val="24"/>
        </w:rPr>
        <w:t>-2018,</w:t>
      </w:r>
      <w:r w:rsidRPr="003D7092">
        <w:rPr>
          <w:rFonts w:asciiTheme="minorHAnsi" w:hAnsiTheme="minorHAnsi"/>
          <w:bCs/>
          <w:spacing w:val="0"/>
          <w:szCs w:val="24"/>
        </w:rPr>
        <w:t xml:space="preserve"> le Ministère de la Santé,</w:t>
      </w:r>
      <w:r w:rsidR="008004D2">
        <w:rPr>
          <w:rFonts w:asciiTheme="minorHAnsi" w:hAnsiTheme="minorHAnsi"/>
          <w:bCs/>
          <w:spacing w:val="0"/>
          <w:szCs w:val="24"/>
        </w:rPr>
        <w:t xml:space="preserve"> en collaboration avec l’organisation Mondiale de la Santé</w:t>
      </w:r>
      <w:r w:rsidR="006C7587">
        <w:rPr>
          <w:rFonts w:asciiTheme="minorHAnsi" w:hAnsiTheme="minorHAnsi"/>
          <w:bCs/>
          <w:spacing w:val="0"/>
          <w:szCs w:val="24"/>
        </w:rPr>
        <w:t>,</w:t>
      </w:r>
      <w:r w:rsidR="008004D2">
        <w:rPr>
          <w:rFonts w:asciiTheme="minorHAnsi" w:hAnsiTheme="minorHAnsi"/>
          <w:bCs/>
          <w:spacing w:val="0"/>
          <w:szCs w:val="24"/>
        </w:rPr>
        <w:t xml:space="preserve"> </w:t>
      </w:r>
      <w:r w:rsidR="00B20159">
        <w:rPr>
          <w:rFonts w:asciiTheme="minorHAnsi" w:hAnsiTheme="minorHAnsi"/>
          <w:bCs/>
          <w:spacing w:val="0"/>
          <w:szCs w:val="24"/>
        </w:rPr>
        <w:t>prévoi</w:t>
      </w:r>
      <w:r w:rsidRPr="003D7092">
        <w:rPr>
          <w:rFonts w:asciiTheme="minorHAnsi" w:hAnsiTheme="minorHAnsi"/>
          <w:bCs/>
          <w:spacing w:val="0"/>
          <w:szCs w:val="24"/>
        </w:rPr>
        <w:t>t le recrutement d’un</w:t>
      </w:r>
      <w:r w:rsidR="00B20159">
        <w:rPr>
          <w:rFonts w:asciiTheme="minorHAnsi" w:hAnsiTheme="minorHAnsi"/>
          <w:bCs/>
          <w:spacing w:val="0"/>
          <w:szCs w:val="24"/>
        </w:rPr>
        <w:t>(e)</w:t>
      </w:r>
      <w:r w:rsidR="00F54393" w:rsidRPr="003D7092">
        <w:rPr>
          <w:rFonts w:asciiTheme="minorHAnsi" w:hAnsiTheme="minorHAnsi"/>
          <w:bCs/>
          <w:spacing w:val="0"/>
          <w:szCs w:val="24"/>
        </w:rPr>
        <w:t>consultant</w:t>
      </w:r>
      <w:r w:rsidR="00B20159">
        <w:rPr>
          <w:rFonts w:asciiTheme="minorHAnsi" w:hAnsiTheme="minorHAnsi"/>
          <w:bCs/>
          <w:spacing w:val="0"/>
          <w:szCs w:val="24"/>
        </w:rPr>
        <w:t>(e)</w:t>
      </w:r>
      <w:r w:rsidR="00F54393" w:rsidRPr="003D7092">
        <w:rPr>
          <w:rFonts w:asciiTheme="minorHAnsi" w:hAnsiTheme="minorHAnsi"/>
          <w:bCs/>
          <w:spacing w:val="0"/>
          <w:szCs w:val="24"/>
        </w:rPr>
        <w:t xml:space="preserve"> national</w:t>
      </w:r>
      <w:r w:rsidR="00B20159">
        <w:rPr>
          <w:rFonts w:asciiTheme="minorHAnsi" w:hAnsiTheme="minorHAnsi"/>
          <w:bCs/>
          <w:spacing w:val="0"/>
          <w:szCs w:val="24"/>
        </w:rPr>
        <w:t>(e)</w:t>
      </w:r>
      <w:r w:rsidRPr="003D7092">
        <w:rPr>
          <w:rFonts w:asciiTheme="minorHAnsi" w:hAnsiTheme="minorHAnsi"/>
          <w:bCs/>
          <w:spacing w:val="0"/>
          <w:szCs w:val="24"/>
        </w:rPr>
        <w:t xml:space="preserve">, pour </w:t>
      </w:r>
      <w:r w:rsidR="00B20159">
        <w:rPr>
          <w:rFonts w:asciiTheme="minorHAnsi" w:hAnsiTheme="minorHAnsi"/>
          <w:bCs/>
          <w:spacing w:val="0"/>
          <w:szCs w:val="24"/>
        </w:rPr>
        <w:t>appuyer le développement de la stratégie</w:t>
      </w:r>
      <w:r w:rsidR="008563DA">
        <w:rPr>
          <w:rFonts w:asciiTheme="minorHAnsi" w:hAnsiTheme="minorHAnsi"/>
          <w:bCs/>
          <w:spacing w:val="0"/>
          <w:szCs w:val="24"/>
        </w:rPr>
        <w:t xml:space="preserve"> </w:t>
      </w:r>
      <w:r w:rsidR="00B20159">
        <w:rPr>
          <w:rFonts w:asciiTheme="minorHAnsi" w:hAnsiTheme="minorHAnsi"/>
          <w:bCs/>
          <w:spacing w:val="0"/>
          <w:szCs w:val="24"/>
        </w:rPr>
        <w:t>nationale de santé maternelle et néonatale</w:t>
      </w:r>
      <w:r w:rsidR="00BB4C16">
        <w:rPr>
          <w:rFonts w:asciiTheme="minorHAnsi" w:hAnsiTheme="minorHAnsi"/>
          <w:bCs/>
          <w:spacing w:val="0"/>
          <w:szCs w:val="24"/>
        </w:rPr>
        <w:t xml:space="preserve"> 2019-2023</w:t>
      </w:r>
      <w:r w:rsidRPr="003D7092">
        <w:rPr>
          <w:rFonts w:asciiTheme="minorHAnsi" w:hAnsiTheme="minorHAnsi"/>
          <w:bCs/>
          <w:spacing w:val="0"/>
          <w:szCs w:val="24"/>
        </w:rPr>
        <w:t>.</w:t>
      </w:r>
    </w:p>
    <w:p w:rsidR="00FF3ACD" w:rsidRPr="003D7092" w:rsidRDefault="00FF3ACD" w:rsidP="00FF3ACD">
      <w:pPr>
        <w:pStyle w:val="Corpsdetexte"/>
        <w:spacing w:after="0" w:line="240" w:lineRule="auto"/>
        <w:ind w:firstLine="284"/>
        <w:jc w:val="both"/>
        <w:rPr>
          <w:rFonts w:asciiTheme="minorHAnsi" w:hAnsiTheme="minorHAnsi"/>
          <w:bCs/>
          <w:spacing w:val="0"/>
          <w:szCs w:val="24"/>
        </w:rPr>
      </w:pPr>
    </w:p>
    <w:p w:rsidR="00324AB8" w:rsidRPr="003D7092" w:rsidRDefault="00FF3ACD" w:rsidP="00FF3ACD">
      <w:pPr>
        <w:spacing w:after="0" w:line="240" w:lineRule="auto"/>
        <w:jc w:val="both"/>
        <w:rPr>
          <w:b/>
          <w:bCs/>
          <w:sz w:val="24"/>
          <w:szCs w:val="24"/>
          <w:u w:val="single"/>
        </w:rPr>
      </w:pPr>
      <w:r w:rsidRPr="003D7092">
        <w:rPr>
          <w:b/>
          <w:bCs/>
          <w:sz w:val="24"/>
          <w:szCs w:val="24"/>
          <w:u w:val="single"/>
        </w:rPr>
        <w:t>PRODUITS ATTENDUS :</w:t>
      </w:r>
    </w:p>
    <w:p w:rsidR="00262B18" w:rsidRPr="000C404A" w:rsidRDefault="00324AB8" w:rsidP="00BB4C16">
      <w:pPr>
        <w:tabs>
          <w:tab w:val="left" w:pos="851"/>
        </w:tabs>
        <w:spacing w:after="0" w:line="240" w:lineRule="auto"/>
        <w:ind w:firstLine="284"/>
        <w:jc w:val="both"/>
        <w:rPr>
          <w:b/>
          <w:sz w:val="24"/>
          <w:szCs w:val="24"/>
        </w:rPr>
      </w:pPr>
      <w:r w:rsidRPr="000C404A">
        <w:rPr>
          <w:noProof/>
          <w:sz w:val="24"/>
          <w:szCs w:val="24"/>
        </w:rPr>
        <w:t xml:space="preserve">A la fin de la mission, </w:t>
      </w:r>
      <w:r w:rsidR="00F54393" w:rsidRPr="000C404A">
        <w:rPr>
          <w:noProof/>
          <w:sz w:val="24"/>
          <w:szCs w:val="24"/>
        </w:rPr>
        <w:t>le</w:t>
      </w:r>
      <w:r w:rsidR="003A4E72" w:rsidRPr="000C404A">
        <w:rPr>
          <w:noProof/>
          <w:sz w:val="24"/>
          <w:szCs w:val="24"/>
        </w:rPr>
        <w:t>/la</w:t>
      </w:r>
      <w:r w:rsidRPr="000C404A">
        <w:rPr>
          <w:noProof/>
          <w:sz w:val="24"/>
          <w:szCs w:val="24"/>
        </w:rPr>
        <w:t xml:space="preserve">  consultant</w:t>
      </w:r>
      <w:r w:rsidR="003A4E72" w:rsidRPr="000C404A">
        <w:rPr>
          <w:noProof/>
          <w:sz w:val="24"/>
          <w:szCs w:val="24"/>
        </w:rPr>
        <w:t>(e)</w:t>
      </w:r>
      <w:r w:rsidRPr="000C404A">
        <w:rPr>
          <w:noProof/>
          <w:sz w:val="24"/>
          <w:szCs w:val="24"/>
        </w:rPr>
        <w:t xml:space="preserve"> aur</w:t>
      </w:r>
      <w:r w:rsidR="00F54393" w:rsidRPr="000C404A">
        <w:rPr>
          <w:noProof/>
          <w:sz w:val="24"/>
          <w:szCs w:val="24"/>
        </w:rPr>
        <w:t>a</w:t>
      </w:r>
      <w:r w:rsidRPr="000C404A">
        <w:rPr>
          <w:noProof/>
          <w:sz w:val="24"/>
          <w:szCs w:val="24"/>
        </w:rPr>
        <w:t> </w:t>
      </w:r>
      <w:r w:rsidR="00BB4C16">
        <w:rPr>
          <w:noProof/>
          <w:sz w:val="24"/>
          <w:szCs w:val="24"/>
        </w:rPr>
        <w:t>développe</w:t>
      </w:r>
      <w:r w:rsidR="008563DA">
        <w:rPr>
          <w:noProof/>
          <w:sz w:val="24"/>
          <w:szCs w:val="24"/>
        </w:rPr>
        <w:t>r</w:t>
      </w:r>
      <w:r w:rsidR="00BB4C16">
        <w:rPr>
          <w:noProof/>
          <w:sz w:val="24"/>
          <w:szCs w:val="24"/>
        </w:rPr>
        <w:t xml:space="preserve"> le document de </w:t>
      </w:r>
      <w:r w:rsidR="005350AD">
        <w:rPr>
          <w:noProof/>
          <w:sz w:val="24"/>
          <w:szCs w:val="24"/>
        </w:rPr>
        <w:t xml:space="preserve">la </w:t>
      </w:r>
      <w:r w:rsidR="00BB4C16">
        <w:rPr>
          <w:noProof/>
          <w:sz w:val="24"/>
          <w:szCs w:val="24"/>
        </w:rPr>
        <w:t xml:space="preserve">stratégie de </w:t>
      </w:r>
      <w:r w:rsidR="000C404A" w:rsidRPr="000C404A">
        <w:rPr>
          <w:noProof/>
          <w:sz w:val="24"/>
          <w:szCs w:val="24"/>
        </w:rPr>
        <w:t>SMNN</w:t>
      </w:r>
      <w:r w:rsidR="00BB4C16">
        <w:rPr>
          <w:noProof/>
          <w:sz w:val="24"/>
          <w:szCs w:val="24"/>
        </w:rPr>
        <w:t xml:space="preserve"> et du plan opérationnel de cette stratégie</w:t>
      </w:r>
      <w:r w:rsidRPr="000C404A">
        <w:rPr>
          <w:noProof/>
          <w:sz w:val="24"/>
          <w:szCs w:val="24"/>
        </w:rPr>
        <w:t>.</w:t>
      </w:r>
    </w:p>
    <w:p w:rsidR="00FF3ACD" w:rsidRPr="003D7092" w:rsidRDefault="00FF3ACD" w:rsidP="00FF3ACD">
      <w:pPr>
        <w:spacing w:after="0" w:line="240" w:lineRule="auto"/>
        <w:jc w:val="both"/>
        <w:rPr>
          <w:b/>
          <w:bCs/>
          <w:sz w:val="24"/>
          <w:szCs w:val="24"/>
          <w:u w:val="single"/>
        </w:rPr>
      </w:pPr>
    </w:p>
    <w:p w:rsidR="00324AB8" w:rsidRPr="003D7092" w:rsidRDefault="00FF3ACD" w:rsidP="00FF3ACD">
      <w:pPr>
        <w:spacing w:after="0" w:line="240" w:lineRule="auto"/>
        <w:jc w:val="both"/>
        <w:rPr>
          <w:b/>
          <w:bCs/>
          <w:sz w:val="24"/>
          <w:szCs w:val="24"/>
          <w:u w:val="single"/>
        </w:rPr>
      </w:pPr>
      <w:r w:rsidRPr="003D7092">
        <w:rPr>
          <w:b/>
          <w:bCs/>
          <w:sz w:val="24"/>
          <w:szCs w:val="24"/>
          <w:u w:val="single"/>
        </w:rPr>
        <w:t>TACHES A ACCOMPLIR :</w:t>
      </w:r>
    </w:p>
    <w:p w:rsidR="00FB03F3" w:rsidRDefault="00FB03F3" w:rsidP="00BB4C16">
      <w:pPr>
        <w:pStyle w:val="Corpsdetexte"/>
        <w:tabs>
          <w:tab w:val="left" w:pos="720"/>
        </w:tabs>
        <w:spacing w:after="0" w:line="240" w:lineRule="auto"/>
        <w:ind w:firstLine="284"/>
        <w:jc w:val="both"/>
        <w:rPr>
          <w:rFonts w:asciiTheme="minorHAnsi" w:hAnsiTheme="minorHAnsi"/>
          <w:spacing w:val="0"/>
          <w:szCs w:val="24"/>
          <w:lang w:eastAsia="fr-FR"/>
        </w:rPr>
      </w:pPr>
    </w:p>
    <w:p w:rsidR="00324AB8" w:rsidRPr="003D7092" w:rsidRDefault="00FB03F3" w:rsidP="00BB4C16">
      <w:pPr>
        <w:pStyle w:val="Corpsdetexte"/>
        <w:tabs>
          <w:tab w:val="left" w:pos="720"/>
        </w:tabs>
        <w:spacing w:after="0" w:line="240" w:lineRule="auto"/>
        <w:ind w:firstLine="284"/>
        <w:jc w:val="both"/>
        <w:rPr>
          <w:rFonts w:asciiTheme="minorHAnsi" w:hAnsiTheme="minorHAnsi"/>
          <w:spacing w:val="0"/>
          <w:szCs w:val="24"/>
          <w:lang w:eastAsia="fr-FR"/>
        </w:rPr>
      </w:pPr>
      <w:r w:rsidRPr="003D7092">
        <w:rPr>
          <w:rFonts w:asciiTheme="minorHAnsi" w:hAnsiTheme="minorHAnsi"/>
          <w:spacing w:val="0"/>
          <w:szCs w:val="24"/>
          <w:lang w:eastAsia="fr-FR"/>
        </w:rPr>
        <w:t>Sous</w:t>
      </w:r>
      <w:r w:rsidR="00BB4C16" w:rsidRPr="003D7092">
        <w:rPr>
          <w:rFonts w:asciiTheme="minorHAnsi" w:hAnsiTheme="minorHAnsi"/>
          <w:spacing w:val="0"/>
          <w:szCs w:val="24"/>
          <w:lang w:eastAsia="fr-FR"/>
        </w:rPr>
        <w:t xml:space="preserve"> la </w:t>
      </w:r>
      <w:r w:rsidR="00BB4C16">
        <w:rPr>
          <w:rFonts w:asciiTheme="minorHAnsi" w:hAnsiTheme="minorHAnsi"/>
          <w:spacing w:val="0"/>
          <w:szCs w:val="24"/>
          <w:lang w:eastAsia="fr-FR"/>
        </w:rPr>
        <w:t>supervision d</w:t>
      </w:r>
      <w:r>
        <w:rPr>
          <w:rFonts w:asciiTheme="minorHAnsi" w:hAnsiTheme="minorHAnsi"/>
          <w:spacing w:val="0"/>
          <w:szCs w:val="24"/>
          <w:lang w:eastAsia="fr-FR"/>
        </w:rPr>
        <w:t xml:space="preserve">’un comité </w:t>
      </w:r>
      <w:r w:rsidR="005059C0">
        <w:rPr>
          <w:rFonts w:asciiTheme="minorHAnsi" w:hAnsiTheme="minorHAnsi"/>
          <w:spacing w:val="0"/>
          <w:szCs w:val="24"/>
          <w:lang w:eastAsia="fr-FR"/>
        </w:rPr>
        <w:t xml:space="preserve">technique </w:t>
      </w:r>
      <w:r>
        <w:rPr>
          <w:rFonts w:asciiTheme="minorHAnsi" w:hAnsiTheme="minorHAnsi"/>
          <w:spacing w:val="0"/>
          <w:szCs w:val="24"/>
          <w:lang w:eastAsia="fr-FR"/>
        </w:rPr>
        <w:t xml:space="preserve">restreint piloté par </w:t>
      </w:r>
      <w:r w:rsidR="00BB4C16">
        <w:rPr>
          <w:rFonts w:asciiTheme="minorHAnsi" w:hAnsiTheme="minorHAnsi"/>
          <w:spacing w:val="0"/>
          <w:szCs w:val="24"/>
          <w:lang w:eastAsia="fr-FR"/>
        </w:rPr>
        <w:t xml:space="preserve"> la DSSB</w:t>
      </w:r>
      <w:r w:rsidR="00BB4C16">
        <w:rPr>
          <w:rFonts w:asciiTheme="minorHAnsi" w:hAnsiTheme="minorHAnsi"/>
          <w:szCs w:val="24"/>
        </w:rPr>
        <w:t>,</w:t>
      </w:r>
      <w:r w:rsidR="006470A0">
        <w:rPr>
          <w:rFonts w:asciiTheme="minorHAnsi" w:hAnsiTheme="minorHAnsi"/>
          <w:szCs w:val="24"/>
        </w:rPr>
        <w:t xml:space="preserve"> </w:t>
      </w:r>
      <w:r w:rsidR="00BB4C16">
        <w:rPr>
          <w:rFonts w:asciiTheme="minorHAnsi" w:hAnsiTheme="minorHAnsi"/>
          <w:spacing w:val="0"/>
          <w:szCs w:val="24"/>
          <w:lang w:eastAsia="fr-FR"/>
        </w:rPr>
        <w:t>l</w:t>
      </w:r>
      <w:r w:rsidR="00324AB8" w:rsidRPr="003D7092">
        <w:rPr>
          <w:rFonts w:asciiTheme="minorHAnsi" w:hAnsiTheme="minorHAnsi"/>
          <w:spacing w:val="0"/>
          <w:szCs w:val="24"/>
          <w:lang w:eastAsia="fr-FR"/>
        </w:rPr>
        <w:t>e</w:t>
      </w:r>
      <w:r w:rsidR="00BB4C16">
        <w:rPr>
          <w:rFonts w:asciiTheme="minorHAnsi" w:hAnsiTheme="minorHAnsi"/>
          <w:spacing w:val="0"/>
          <w:szCs w:val="24"/>
          <w:lang w:eastAsia="fr-FR"/>
        </w:rPr>
        <w:t>(a)</w:t>
      </w:r>
      <w:r w:rsidR="00324AB8" w:rsidRPr="003D7092">
        <w:rPr>
          <w:rFonts w:asciiTheme="minorHAnsi" w:hAnsiTheme="minorHAnsi"/>
          <w:spacing w:val="0"/>
          <w:szCs w:val="24"/>
          <w:lang w:eastAsia="fr-FR"/>
        </w:rPr>
        <w:t>consultant</w:t>
      </w:r>
      <w:r w:rsidR="00BB4C16">
        <w:rPr>
          <w:rFonts w:asciiTheme="minorHAnsi" w:hAnsiTheme="minorHAnsi"/>
          <w:spacing w:val="0"/>
          <w:szCs w:val="24"/>
          <w:lang w:eastAsia="fr-FR"/>
        </w:rPr>
        <w:t>(e)</w:t>
      </w:r>
      <w:r w:rsidR="00324AB8" w:rsidRPr="003D7092">
        <w:rPr>
          <w:rFonts w:asciiTheme="minorHAnsi" w:hAnsiTheme="minorHAnsi"/>
          <w:spacing w:val="0"/>
          <w:szCs w:val="24"/>
          <w:lang w:eastAsia="fr-FR"/>
        </w:rPr>
        <w:t>, aur</w:t>
      </w:r>
      <w:r w:rsidR="00F54393" w:rsidRPr="003D7092">
        <w:rPr>
          <w:rFonts w:asciiTheme="minorHAnsi" w:hAnsiTheme="minorHAnsi"/>
          <w:spacing w:val="0"/>
          <w:szCs w:val="24"/>
          <w:lang w:eastAsia="fr-FR"/>
        </w:rPr>
        <w:t>a</w:t>
      </w:r>
      <w:r w:rsidR="00324AB8" w:rsidRPr="003D7092">
        <w:rPr>
          <w:rFonts w:asciiTheme="minorHAnsi" w:hAnsiTheme="minorHAnsi"/>
          <w:spacing w:val="0"/>
          <w:szCs w:val="24"/>
          <w:lang w:eastAsia="fr-FR"/>
        </w:rPr>
        <w:t xml:space="preserve"> à: </w:t>
      </w:r>
    </w:p>
    <w:p w:rsidR="003A4E72" w:rsidRPr="007663C9" w:rsidRDefault="003A4E72" w:rsidP="00BB4C16">
      <w:pPr>
        <w:pStyle w:val="Corpsdetexte"/>
        <w:tabs>
          <w:tab w:val="left" w:pos="851"/>
        </w:tabs>
        <w:spacing w:after="0" w:line="240" w:lineRule="auto"/>
        <w:ind w:left="426"/>
        <w:jc w:val="both"/>
        <w:rPr>
          <w:rFonts w:asciiTheme="minorHAnsi" w:hAnsiTheme="minorHAnsi"/>
          <w:szCs w:val="24"/>
        </w:rPr>
      </w:pPr>
    </w:p>
    <w:p w:rsidR="00FB03F3" w:rsidRDefault="00FB03F3" w:rsidP="00BB4C16">
      <w:pPr>
        <w:pStyle w:val="Corpsdetexte"/>
        <w:numPr>
          <w:ilvl w:val="0"/>
          <w:numId w:val="9"/>
        </w:numPr>
        <w:tabs>
          <w:tab w:val="left" w:pos="851"/>
        </w:tabs>
        <w:spacing w:after="0" w:line="240" w:lineRule="auto"/>
        <w:ind w:left="709"/>
        <w:jc w:val="both"/>
        <w:rPr>
          <w:rFonts w:asciiTheme="minorHAnsi" w:hAnsiTheme="minorHAnsi"/>
          <w:szCs w:val="24"/>
        </w:rPr>
      </w:pPr>
      <w:r>
        <w:rPr>
          <w:rFonts w:asciiTheme="minorHAnsi" w:hAnsiTheme="minorHAnsi"/>
          <w:szCs w:val="24"/>
        </w:rPr>
        <w:t>Développer la note méthodologique pour la mise en œuvre de la consultation. Cette note devra être validée par le comité restreint de suivi de la consultation</w:t>
      </w:r>
    </w:p>
    <w:p w:rsidR="00324AB8" w:rsidRPr="003A4E72" w:rsidRDefault="00BB4C16" w:rsidP="00BB4C16">
      <w:pPr>
        <w:pStyle w:val="Corpsdetexte"/>
        <w:numPr>
          <w:ilvl w:val="0"/>
          <w:numId w:val="9"/>
        </w:numPr>
        <w:tabs>
          <w:tab w:val="left" w:pos="851"/>
        </w:tabs>
        <w:spacing w:after="0" w:line="240" w:lineRule="auto"/>
        <w:ind w:left="709"/>
        <w:jc w:val="both"/>
        <w:rPr>
          <w:rFonts w:asciiTheme="minorHAnsi" w:hAnsiTheme="minorHAnsi"/>
          <w:szCs w:val="24"/>
        </w:rPr>
      </w:pPr>
      <w:r>
        <w:rPr>
          <w:rFonts w:asciiTheme="minorHAnsi" w:hAnsiTheme="minorHAnsi"/>
          <w:szCs w:val="24"/>
        </w:rPr>
        <w:t xml:space="preserve">Assurer une </w:t>
      </w:r>
      <w:r w:rsidR="00324AB8" w:rsidRPr="003A4E72">
        <w:rPr>
          <w:rFonts w:asciiTheme="minorHAnsi" w:hAnsiTheme="minorHAnsi"/>
          <w:szCs w:val="24"/>
        </w:rPr>
        <w:t xml:space="preserve">revue documentaire </w:t>
      </w:r>
      <w:r>
        <w:rPr>
          <w:rFonts w:asciiTheme="minorHAnsi" w:hAnsiTheme="minorHAnsi"/>
          <w:szCs w:val="24"/>
        </w:rPr>
        <w:t>des différentes productions en relation avec la question de santé maternelle et néonatale en Tunisie</w:t>
      </w:r>
      <w:r w:rsidR="00324AB8" w:rsidRPr="003A4E72">
        <w:rPr>
          <w:rFonts w:asciiTheme="minorHAnsi" w:hAnsiTheme="minorHAnsi"/>
          <w:szCs w:val="24"/>
        </w:rPr>
        <w:t>.</w:t>
      </w:r>
    </w:p>
    <w:p w:rsidR="00FB03F3" w:rsidRDefault="00956EDA" w:rsidP="00FB03F3">
      <w:pPr>
        <w:pStyle w:val="Corpsdetexte"/>
        <w:numPr>
          <w:ilvl w:val="0"/>
          <w:numId w:val="9"/>
        </w:numPr>
        <w:tabs>
          <w:tab w:val="left" w:pos="851"/>
        </w:tabs>
        <w:spacing w:after="0" w:line="240" w:lineRule="auto"/>
        <w:ind w:left="709"/>
        <w:jc w:val="both"/>
        <w:rPr>
          <w:rFonts w:asciiTheme="minorHAnsi" w:hAnsiTheme="minorHAnsi"/>
          <w:szCs w:val="24"/>
        </w:rPr>
      </w:pPr>
      <w:r>
        <w:rPr>
          <w:rFonts w:asciiTheme="minorHAnsi" w:hAnsiTheme="minorHAnsi"/>
          <w:szCs w:val="24"/>
        </w:rPr>
        <w:t>O</w:t>
      </w:r>
      <w:r w:rsidR="003A4E72">
        <w:rPr>
          <w:rFonts w:asciiTheme="minorHAnsi" w:hAnsiTheme="minorHAnsi"/>
          <w:szCs w:val="24"/>
        </w:rPr>
        <w:t xml:space="preserve">rganiser </w:t>
      </w:r>
      <w:r w:rsidR="00324AB8" w:rsidRPr="003D7092">
        <w:rPr>
          <w:rFonts w:asciiTheme="minorHAnsi" w:hAnsiTheme="minorHAnsi"/>
          <w:szCs w:val="24"/>
        </w:rPr>
        <w:t>des séances de travail avec les représentants de structures gouvernementales, non gouvernementales</w:t>
      </w:r>
      <w:r w:rsidR="00BB4C16">
        <w:rPr>
          <w:rFonts w:asciiTheme="minorHAnsi" w:hAnsiTheme="minorHAnsi"/>
          <w:szCs w:val="24"/>
        </w:rPr>
        <w:t>, académiques</w:t>
      </w:r>
      <w:r w:rsidR="00324AB8" w:rsidRPr="003D7092">
        <w:rPr>
          <w:rFonts w:asciiTheme="minorHAnsi" w:hAnsiTheme="minorHAnsi"/>
          <w:szCs w:val="24"/>
        </w:rPr>
        <w:t xml:space="preserve"> et celles du secteur privé ; </w:t>
      </w:r>
      <w:r w:rsidR="00BB4C16">
        <w:rPr>
          <w:rFonts w:asciiTheme="minorHAnsi" w:hAnsiTheme="minorHAnsi"/>
          <w:szCs w:val="24"/>
        </w:rPr>
        <w:t>ces réunions serviront pour approfondir davantage la réflexion autour des axes de la stratégie SMNN</w:t>
      </w:r>
    </w:p>
    <w:p w:rsidR="00FB03F3" w:rsidRPr="00FB03F3" w:rsidRDefault="00FB03F3" w:rsidP="00FB03F3">
      <w:pPr>
        <w:pStyle w:val="Corpsdetexte"/>
        <w:numPr>
          <w:ilvl w:val="0"/>
          <w:numId w:val="9"/>
        </w:numPr>
        <w:tabs>
          <w:tab w:val="left" w:pos="851"/>
        </w:tabs>
        <w:spacing w:after="0" w:line="240" w:lineRule="auto"/>
        <w:ind w:left="709"/>
        <w:jc w:val="both"/>
        <w:rPr>
          <w:rFonts w:asciiTheme="minorHAnsi" w:hAnsiTheme="minorHAnsi"/>
          <w:szCs w:val="24"/>
        </w:rPr>
      </w:pPr>
      <w:r>
        <w:rPr>
          <w:rFonts w:asciiTheme="minorHAnsi" w:hAnsiTheme="minorHAnsi"/>
          <w:szCs w:val="24"/>
        </w:rPr>
        <w:t>Prendre part à l’atelier de réflexion autour de la stratégie SMNN organisé par le SNU et qui aura lieu en mars 2018</w:t>
      </w:r>
      <w:r w:rsidRPr="00FB03F3">
        <w:rPr>
          <w:rFonts w:asciiTheme="minorHAnsi" w:hAnsiTheme="minorHAnsi"/>
        </w:rPr>
        <w:t>.</w:t>
      </w:r>
    </w:p>
    <w:p w:rsidR="00FB03F3" w:rsidRPr="00FB03F3" w:rsidRDefault="00FB03F3" w:rsidP="00FB03F3">
      <w:pPr>
        <w:pStyle w:val="Corpsdetexte"/>
        <w:numPr>
          <w:ilvl w:val="0"/>
          <w:numId w:val="9"/>
        </w:numPr>
        <w:tabs>
          <w:tab w:val="left" w:pos="851"/>
        </w:tabs>
        <w:spacing w:after="0" w:line="240" w:lineRule="auto"/>
        <w:ind w:left="709"/>
        <w:jc w:val="both"/>
        <w:rPr>
          <w:rFonts w:asciiTheme="minorHAnsi" w:hAnsiTheme="minorHAnsi"/>
          <w:szCs w:val="24"/>
        </w:rPr>
      </w:pPr>
      <w:r>
        <w:rPr>
          <w:rFonts w:asciiTheme="minorHAnsi" w:hAnsiTheme="minorHAnsi"/>
        </w:rPr>
        <w:t xml:space="preserve">Faciliter 03 ateliers inter régionaux de réflexion autour de la stratégie nationale SMNN et de son plan opérationnel </w:t>
      </w:r>
    </w:p>
    <w:p w:rsidR="00FB03F3" w:rsidRPr="00FB03F3" w:rsidRDefault="00FB03F3" w:rsidP="00FB03F3">
      <w:pPr>
        <w:pStyle w:val="Corpsdetexte"/>
        <w:numPr>
          <w:ilvl w:val="0"/>
          <w:numId w:val="9"/>
        </w:numPr>
        <w:tabs>
          <w:tab w:val="left" w:pos="851"/>
        </w:tabs>
        <w:spacing w:after="0" w:line="240" w:lineRule="auto"/>
        <w:ind w:left="709"/>
        <w:jc w:val="both"/>
        <w:rPr>
          <w:rFonts w:asciiTheme="minorHAnsi" w:hAnsiTheme="minorHAnsi"/>
          <w:szCs w:val="24"/>
        </w:rPr>
      </w:pPr>
      <w:r>
        <w:rPr>
          <w:rFonts w:asciiTheme="minorHAnsi" w:hAnsiTheme="minorHAnsi"/>
        </w:rPr>
        <w:t xml:space="preserve">Développer la stratégie de SMNN </w:t>
      </w:r>
      <w:r w:rsidR="00956EDA">
        <w:rPr>
          <w:rFonts w:asciiTheme="minorHAnsi" w:hAnsiTheme="minorHAnsi"/>
        </w:rPr>
        <w:t xml:space="preserve">et du plan opérationnel </w:t>
      </w:r>
      <w:r>
        <w:rPr>
          <w:rFonts w:asciiTheme="minorHAnsi" w:hAnsiTheme="minorHAnsi"/>
        </w:rPr>
        <w:t>en tenant compte des recommandations et résultats des ateliers inter régionaux et aussi en s’inspirant des recommandations, orientations, cadres stratégiques</w:t>
      </w:r>
      <w:r w:rsidR="00956EDA">
        <w:rPr>
          <w:rFonts w:asciiTheme="minorHAnsi" w:hAnsiTheme="minorHAnsi"/>
        </w:rPr>
        <w:t xml:space="preserve"> et guidelines</w:t>
      </w:r>
      <w:r>
        <w:rPr>
          <w:rFonts w:asciiTheme="minorHAnsi" w:hAnsiTheme="minorHAnsi"/>
        </w:rPr>
        <w:t xml:space="preserve"> internationaux en matière de SMNN.   </w:t>
      </w:r>
    </w:p>
    <w:p w:rsidR="00FB03F3" w:rsidRPr="00FB03F3" w:rsidRDefault="00FB03F3" w:rsidP="00FB03F3">
      <w:pPr>
        <w:pStyle w:val="Corpsdetexte"/>
        <w:numPr>
          <w:ilvl w:val="0"/>
          <w:numId w:val="9"/>
        </w:numPr>
        <w:tabs>
          <w:tab w:val="left" w:pos="851"/>
        </w:tabs>
        <w:spacing w:after="0" w:line="240" w:lineRule="auto"/>
        <w:ind w:left="709"/>
        <w:jc w:val="both"/>
        <w:rPr>
          <w:rFonts w:asciiTheme="minorHAnsi" w:hAnsiTheme="minorHAnsi"/>
          <w:szCs w:val="24"/>
        </w:rPr>
      </w:pPr>
      <w:r>
        <w:rPr>
          <w:rFonts w:asciiTheme="minorHAnsi" w:hAnsiTheme="minorHAnsi"/>
        </w:rPr>
        <w:t>Faciliter un atelier national de présentation de la stratégie SMNN et de son plan opérationnel</w:t>
      </w:r>
    </w:p>
    <w:p w:rsidR="00324AB8" w:rsidRPr="00956EDA" w:rsidRDefault="00FB03F3" w:rsidP="00956EDA">
      <w:pPr>
        <w:pStyle w:val="Corpsdetexte"/>
        <w:numPr>
          <w:ilvl w:val="0"/>
          <w:numId w:val="9"/>
        </w:numPr>
        <w:tabs>
          <w:tab w:val="left" w:pos="851"/>
        </w:tabs>
        <w:spacing w:after="0" w:line="240" w:lineRule="auto"/>
        <w:ind w:left="709"/>
        <w:jc w:val="both"/>
        <w:rPr>
          <w:rFonts w:asciiTheme="minorHAnsi" w:hAnsiTheme="minorHAnsi"/>
          <w:szCs w:val="24"/>
        </w:rPr>
      </w:pPr>
      <w:r>
        <w:rPr>
          <w:rFonts w:asciiTheme="minorHAnsi" w:hAnsiTheme="minorHAnsi"/>
        </w:rPr>
        <w:t xml:space="preserve">Tenir compte des recommandations et commentaires émanant de l’atelier national dans la version finale de la stratégie et du plan opérationnel.  </w:t>
      </w:r>
    </w:p>
    <w:p w:rsidR="00324AB8" w:rsidRPr="003D7092" w:rsidRDefault="003A4E72" w:rsidP="00FF3ACD">
      <w:pPr>
        <w:pStyle w:val="Paragraphedeliste"/>
        <w:numPr>
          <w:ilvl w:val="0"/>
          <w:numId w:val="11"/>
        </w:numPr>
        <w:tabs>
          <w:tab w:val="left" w:pos="709"/>
        </w:tabs>
        <w:ind w:left="709"/>
        <w:jc w:val="both"/>
        <w:rPr>
          <w:rFonts w:asciiTheme="minorHAnsi" w:hAnsiTheme="minorHAnsi"/>
        </w:rPr>
      </w:pPr>
      <w:r>
        <w:rPr>
          <w:rFonts w:asciiTheme="minorHAnsi" w:hAnsiTheme="minorHAnsi"/>
        </w:rPr>
        <w:t>Co-</w:t>
      </w:r>
      <w:r w:rsidR="00324AB8" w:rsidRPr="003D7092">
        <w:rPr>
          <w:rFonts w:asciiTheme="minorHAnsi" w:hAnsiTheme="minorHAnsi"/>
        </w:rPr>
        <w:t>Faciliter un atelier pour présenter et valider le document  sur les options de panier de services nécessaires en SMNN.</w:t>
      </w:r>
    </w:p>
    <w:p w:rsidR="00324AB8" w:rsidRPr="003D7092" w:rsidRDefault="00324AB8" w:rsidP="00FF3ACD">
      <w:pPr>
        <w:pStyle w:val="Paragraphedeliste"/>
        <w:numPr>
          <w:ilvl w:val="0"/>
          <w:numId w:val="11"/>
        </w:numPr>
        <w:tabs>
          <w:tab w:val="left" w:pos="709"/>
        </w:tabs>
        <w:ind w:left="709"/>
        <w:jc w:val="both"/>
        <w:rPr>
          <w:rFonts w:asciiTheme="minorHAnsi" w:hAnsiTheme="minorHAnsi"/>
        </w:rPr>
      </w:pPr>
      <w:r w:rsidRPr="003D7092">
        <w:rPr>
          <w:rFonts w:asciiTheme="minorHAnsi" w:hAnsiTheme="minorHAnsi"/>
        </w:rPr>
        <w:t xml:space="preserve">Tenir compte des commentaires et </w:t>
      </w:r>
      <w:r w:rsidR="00956EDA">
        <w:rPr>
          <w:rFonts w:asciiTheme="minorHAnsi" w:hAnsiTheme="minorHAnsi"/>
        </w:rPr>
        <w:t>des suggestions découlant de</w:t>
      </w:r>
      <w:r w:rsidR="00241DFF">
        <w:rPr>
          <w:rFonts w:asciiTheme="minorHAnsi" w:hAnsiTheme="minorHAnsi"/>
        </w:rPr>
        <w:t xml:space="preserve"> </w:t>
      </w:r>
      <w:r w:rsidR="00956EDA">
        <w:rPr>
          <w:rFonts w:asciiTheme="minorHAnsi" w:hAnsiTheme="minorHAnsi"/>
        </w:rPr>
        <w:t>l’</w:t>
      </w:r>
      <w:r w:rsidRPr="003D7092">
        <w:rPr>
          <w:rFonts w:asciiTheme="minorHAnsi" w:hAnsiTheme="minorHAnsi"/>
        </w:rPr>
        <w:t>atelier</w:t>
      </w:r>
      <w:r w:rsidR="00956EDA">
        <w:rPr>
          <w:rFonts w:asciiTheme="minorHAnsi" w:hAnsiTheme="minorHAnsi"/>
        </w:rPr>
        <w:t xml:space="preserve"> national</w:t>
      </w:r>
      <w:r w:rsidRPr="003D7092">
        <w:rPr>
          <w:rFonts w:asciiTheme="minorHAnsi" w:hAnsiTheme="minorHAnsi"/>
        </w:rPr>
        <w:t>, dans la version finale du document.</w:t>
      </w:r>
    </w:p>
    <w:p w:rsidR="00FF3ACD" w:rsidRDefault="00FF3ACD" w:rsidP="00FF3ACD">
      <w:pPr>
        <w:tabs>
          <w:tab w:val="left" w:pos="284"/>
        </w:tabs>
        <w:spacing w:after="0" w:line="240" w:lineRule="auto"/>
        <w:jc w:val="both"/>
        <w:rPr>
          <w:i/>
          <w:iCs/>
          <w:sz w:val="24"/>
          <w:szCs w:val="24"/>
        </w:rPr>
      </w:pPr>
    </w:p>
    <w:p w:rsidR="00C02A73" w:rsidRPr="003D7092" w:rsidRDefault="00C02A73" w:rsidP="00FF3ACD">
      <w:pPr>
        <w:tabs>
          <w:tab w:val="left" w:pos="284"/>
        </w:tabs>
        <w:spacing w:after="0" w:line="240" w:lineRule="auto"/>
        <w:jc w:val="both"/>
        <w:rPr>
          <w:i/>
          <w:iCs/>
          <w:sz w:val="24"/>
          <w:szCs w:val="24"/>
        </w:rPr>
      </w:pPr>
    </w:p>
    <w:p w:rsidR="00324AB8" w:rsidRPr="003D7092" w:rsidRDefault="003D7092" w:rsidP="00FF3ACD">
      <w:pPr>
        <w:tabs>
          <w:tab w:val="left" w:pos="851"/>
        </w:tabs>
        <w:spacing w:after="0" w:line="240" w:lineRule="auto"/>
        <w:jc w:val="both"/>
        <w:rPr>
          <w:b/>
          <w:sz w:val="24"/>
          <w:szCs w:val="24"/>
          <w:u w:val="single"/>
        </w:rPr>
      </w:pPr>
      <w:bookmarkStart w:id="0" w:name="_GoBack"/>
      <w:bookmarkEnd w:id="0"/>
      <w:r w:rsidRPr="003D7092">
        <w:rPr>
          <w:b/>
          <w:sz w:val="24"/>
          <w:szCs w:val="24"/>
          <w:u w:val="single"/>
        </w:rPr>
        <w:t>PROFIL DU CONSULTANT NATIONAL:</w:t>
      </w:r>
    </w:p>
    <w:p w:rsidR="00956EDA" w:rsidRPr="00956EDA" w:rsidRDefault="00956EDA" w:rsidP="00956EDA">
      <w:pPr>
        <w:tabs>
          <w:tab w:val="left" w:pos="284"/>
        </w:tabs>
        <w:spacing w:after="0" w:line="240" w:lineRule="auto"/>
        <w:ind w:left="284"/>
        <w:rPr>
          <w:sz w:val="24"/>
          <w:szCs w:val="24"/>
        </w:rPr>
      </w:pPr>
      <w:r w:rsidRPr="00956EDA">
        <w:rPr>
          <w:sz w:val="24"/>
          <w:szCs w:val="24"/>
        </w:rPr>
        <w:t xml:space="preserve">Formation supérieure en sciences sociales, médicales, ou autre, </w:t>
      </w:r>
    </w:p>
    <w:p w:rsidR="00956EDA" w:rsidRPr="00956EDA" w:rsidRDefault="00956EDA" w:rsidP="00956EDA">
      <w:pPr>
        <w:tabs>
          <w:tab w:val="left" w:pos="284"/>
        </w:tabs>
        <w:spacing w:after="0" w:line="240" w:lineRule="auto"/>
        <w:ind w:left="284"/>
        <w:rPr>
          <w:sz w:val="24"/>
          <w:szCs w:val="24"/>
        </w:rPr>
      </w:pPr>
      <w:r w:rsidRPr="00956EDA">
        <w:rPr>
          <w:sz w:val="24"/>
          <w:szCs w:val="24"/>
        </w:rPr>
        <w:t>(a)</w:t>
      </w:r>
      <w:r w:rsidRPr="00956EDA">
        <w:rPr>
          <w:sz w:val="24"/>
          <w:szCs w:val="24"/>
        </w:rPr>
        <w:tab/>
        <w:t xml:space="preserve">une expérience approfondie des programmes nationaux de santé en Tunisie.  </w:t>
      </w:r>
    </w:p>
    <w:p w:rsidR="00956EDA" w:rsidRPr="00956EDA" w:rsidRDefault="00956EDA" w:rsidP="00956EDA">
      <w:pPr>
        <w:tabs>
          <w:tab w:val="left" w:pos="284"/>
        </w:tabs>
        <w:spacing w:after="0" w:line="240" w:lineRule="auto"/>
        <w:ind w:left="284"/>
        <w:rPr>
          <w:sz w:val="24"/>
          <w:szCs w:val="24"/>
        </w:rPr>
      </w:pPr>
      <w:r w:rsidRPr="00956EDA">
        <w:rPr>
          <w:sz w:val="24"/>
          <w:szCs w:val="24"/>
        </w:rPr>
        <w:t>(b)</w:t>
      </w:r>
      <w:r w:rsidRPr="00956EDA">
        <w:rPr>
          <w:sz w:val="24"/>
          <w:szCs w:val="24"/>
        </w:rPr>
        <w:tab/>
        <w:t xml:space="preserve">une connaissance du contexte national et international lié aux questions de SMNN. </w:t>
      </w:r>
    </w:p>
    <w:p w:rsidR="00956EDA" w:rsidRPr="00956EDA" w:rsidRDefault="00956EDA" w:rsidP="00956EDA">
      <w:pPr>
        <w:tabs>
          <w:tab w:val="left" w:pos="284"/>
        </w:tabs>
        <w:spacing w:after="0" w:line="240" w:lineRule="auto"/>
        <w:ind w:left="284"/>
        <w:rPr>
          <w:sz w:val="24"/>
          <w:szCs w:val="24"/>
        </w:rPr>
      </w:pPr>
      <w:r w:rsidRPr="00956EDA">
        <w:rPr>
          <w:sz w:val="24"/>
          <w:szCs w:val="24"/>
        </w:rPr>
        <w:t>(c)</w:t>
      </w:r>
      <w:r w:rsidRPr="00956EDA">
        <w:rPr>
          <w:sz w:val="24"/>
          <w:szCs w:val="24"/>
        </w:rPr>
        <w:tab/>
        <w:t>une connaissance du système de santé</w:t>
      </w:r>
      <w:r>
        <w:rPr>
          <w:sz w:val="24"/>
          <w:szCs w:val="24"/>
        </w:rPr>
        <w:t>, des programmes, stratégies mis en place en SMNN</w:t>
      </w:r>
      <w:r w:rsidRPr="00956EDA">
        <w:rPr>
          <w:sz w:val="24"/>
          <w:szCs w:val="24"/>
        </w:rPr>
        <w:t xml:space="preserve">. </w:t>
      </w:r>
    </w:p>
    <w:p w:rsidR="00956EDA" w:rsidRPr="00956EDA" w:rsidRDefault="00956EDA" w:rsidP="00956EDA">
      <w:pPr>
        <w:tabs>
          <w:tab w:val="left" w:pos="284"/>
        </w:tabs>
        <w:spacing w:after="0" w:line="240" w:lineRule="auto"/>
        <w:ind w:left="284"/>
        <w:rPr>
          <w:sz w:val="24"/>
          <w:szCs w:val="24"/>
        </w:rPr>
      </w:pPr>
      <w:r w:rsidRPr="00956EDA">
        <w:rPr>
          <w:sz w:val="24"/>
          <w:szCs w:val="24"/>
        </w:rPr>
        <w:t>(d)</w:t>
      </w:r>
      <w:r w:rsidRPr="00956EDA">
        <w:rPr>
          <w:sz w:val="24"/>
          <w:szCs w:val="24"/>
        </w:rPr>
        <w:tab/>
        <w:t>une expérience en matière de recherche.</w:t>
      </w:r>
    </w:p>
    <w:p w:rsidR="00956EDA" w:rsidRDefault="00956EDA" w:rsidP="00956EDA">
      <w:pPr>
        <w:tabs>
          <w:tab w:val="left" w:pos="284"/>
        </w:tabs>
        <w:spacing w:after="0" w:line="240" w:lineRule="auto"/>
        <w:ind w:left="284"/>
        <w:jc w:val="both"/>
        <w:rPr>
          <w:sz w:val="24"/>
          <w:szCs w:val="24"/>
        </w:rPr>
      </w:pPr>
      <w:r w:rsidRPr="00956EDA">
        <w:rPr>
          <w:sz w:val="24"/>
          <w:szCs w:val="24"/>
        </w:rPr>
        <w:t>(e)</w:t>
      </w:r>
      <w:r w:rsidRPr="00956EDA">
        <w:rPr>
          <w:sz w:val="24"/>
          <w:szCs w:val="24"/>
        </w:rPr>
        <w:tab/>
        <w:t xml:space="preserve">appuyé, </w:t>
      </w:r>
      <w:r>
        <w:rPr>
          <w:sz w:val="24"/>
          <w:szCs w:val="24"/>
        </w:rPr>
        <w:t xml:space="preserve">développé de stratégies, ou programmes </w:t>
      </w:r>
      <w:r w:rsidRPr="00956EDA">
        <w:rPr>
          <w:sz w:val="24"/>
          <w:szCs w:val="24"/>
        </w:rPr>
        <w:t>le domaine de la santé serait un atout.</w:t>
      </w:r>
    </w:p>
    <w:p w:rsidR="003D7092" w:rsidRDefault="003D7092" w:rsidP="00FF3ACD">
      <w:pPr>
        <w:spacing w:after="0" w:line="240" w:lineRule="auto"/>
        <w:jc w:val="both"/>
        <w:rPr>
          <w:b/>
          <w:sz w:val="24"/>
          <w:szCs w:val="24"/>
          <w:u w:val="single"/>
        </w:rPr>
      </w:pPr>
    </w:p>
    <w:p w:rsidR="00324AB8" w:rsidRPr="003D7092" w:rsidRDefault="003D7092" w:rsidP="00FF3ACD">
      <w:pPr>
        <w:spacing w:after="0" w:line="240" w:lineRule="auto"/>
        <w:jc w:val="both"/>
        <w:rPr>
          <w:b/>
          <w:sz w:val="24"/>
          <w:szCs w:val="24"/>
          <w:u w:val="single"/>
        </w:rPr>
      </w:pPr>
      <w:r w:rsidRPr="003D7092">
        <w:rPr>
          <w:b/>
          <w:sz w:val="24"/>
          <w:szCs w:val="24"/>
          <w:u w:val="single"/>
        </w:rPr>
        <w:t>CONDITIONS ET DUREE DE TRAVAIL:</w:t>
      </w:r>
    </w:p>
    <w:p w:rsidR="00324AB8" w:rsidRPr="003D7092" w:rsidRDefault="00324AB8" w:rsidP="00FF3ACD">
      <w:pPr>
        <w:numPr>
          <w:ilvl w:val="0"/>
          <w:numId w:val="3"/>
        </w:numPr>
        <w:spacing w:after="0" w:line="240" w:lineRule="auto"/>
        <w:rPr>
          <w:sz w:val="24"/>
          <w:szCs w:val="24"/>
        </w:rPr>
      </w:pPr>
      <w:r w:rsidRPr="003D7092">
        <w:rPr>
          <w:sz w:val="24"/>
          <w:szCs w:val="24"/>
        </w:rPr>
        <w:t xml:space="preserve">Lieu: Tunisie </w:t>
      </w:r>
    </w:p>
    <w:p w:rsidR="00324AB8" w:rsidRPr="003D7092" w:rsidRDefault="00324AB8" w:rsidP="00956EDA">
      <w:pPr>
        <w:numPr>
          <w:ilvl w:val="0"/>
          <w:numId w:val="3"/>
        </w:numPr>
        <w:spacing w:after="0" w:line="240" w:lineRule="auto"/>
        <w:rPr>
          <w:sz w:val="24"/>
          <w:szCs w:val="24"/>
        </w:rPr>
      </w:pPr>
      <w:r w:rsidRPr="003D7092">
        <w:rPr>
          <w:sz w:val="24"/>
          <w:szCs w:val="24"/>
        </w:rPr>
        <w:t xml:space="preserve">Durée: </w:t>
      </w:r>
      <w:r w:rsidR="00956EDA">
        <w:rPr>
          <w:sz w:val="24"/>
          <w:szCs w:val="24"/>
        </w:rPr>
        <w:t>6</w:t>
      </w:r>
      <w:r w:rsidRPr="003D7092">
        <w:rPr>
          <w:sz w:val="24"/>
          <w:szCs w:val="24"/>
        </w:rPr>
        <w:t xml:space="preserve">0 jours </w:t>
      </w:r>
      <w:r w:rsidR="004143E8" w:rsidRPr="003D7092">
        <w:rPr>
          <w:sz w:val="24"/>
          <w:szCs w:val="24"/>
        </w:rPr>
        <w:t xml:space="preserve">de travail  </w:t>
      </w:r>
      <w:r w:rsidR="004143E8" w:rsidRPr="003D7092">
        <w:rPr>
          <w:rFonts w:cs="Calibri"/>
          <w:color w:val="000000"/>
          <w:sz w:val="24"/>
          <w:szCs w:val="24"/>
        </w:rPr>
        <w:t>à partir de la date de la signature du contrat,</w:t>
      </w:r>
      <w:r w:rsidR="003A0F25">
        <w:rPr>
          <w:rFonts w:cs="Calibri"/>
          <w:color w:val="000000"/>
          <w:sz w:val="24"/>
          <w:szCs w:val="24"/>
        </w:rPr>
        <w:t xml:space="preserve"> </w:t>
      </w:r>
      <w:r w:rsidR="00956EDA">
        <w:rPr>
          <w:sz w:val="24"/>
          <w:szCs w:val="24"/>
        </w:rPr>
        <w:t>étalée entre le20</w:t>
      </w:r>
      <w:r w:rsidR="003A0F25">
        <w:rPr>
          <w:sz w:val="24"/>
          <w:szCs w:val="24"/>
        </w:rPr>
        <w:t xml:space="preserve"> </w:t>
      </w:r>
      <w:r w:rsidR="00956EDA">
        <w:rPr>
          <w:sz w:val="24"/>
          <w:szCs w:val="24"/>
        </w:rPr>
        <w:t>mars</w:t>
      </w:r>
      <w:r w:rsidR="003A0F25">
        <w:rPr>
          <w:sz w:val="24"/>
          <w:szCs w:val="24"/>
        </w:rPr>
        <w:t xml:space="preserve"> </w:t>
      </w:r>
      <w:r w:rsidR="00956EDA">
        <w:rPr>
          <w:sz w:val="24"/>
          <w:szCs w:val="24"/>
        </w:rPr>
        <w:t>et le30</w:t>
      </w:r>
      <w:r w:rsidR="003A0F25">
        <w:rPr>
          <w:sz w:val="24"/>
          <w:szCs w:val="24"/>
        </w:rPr>
        <w:t xml:space="preserve"> </w:t>
      </w:r>
      <w:r w:rsidR="00956EDA">
        <w:rPr>
          <w:sz w:val="24"/>
          <w:szCs w:val="24"/>
        </w:rPr>
        <w:t>novembre</w:t>
      </w:r>
      <w:r w:rsidR="003A0F25">
        <w:rPr>
          <w:sz w:val="24"/>
          <w:szCs w:val="24"/>
        </w:rPr>
        <w:t xml:space="preserve"> </w:t>
      </w:r>
      <w:r w:rsidR="00956EDA">
        <w:rPr>
          <w:sz w:val="24"/>
          <w:szCs w:val="24"/>
        </w:rPr>
        <w:t>2018</w:t>
      </w:r>
      <w:r w:rsidRPr="003D7092">
        <w:rPr>
          <w:sz w:val="24"/>
          <w:szCs w:val="24"/>
        </w:rPr>
        <w:t>.</w:t>
      </w:r>
    </w:p>
    <w:p w:rsidR="00262B18" w:rsidRPr="003D7092" w:rsidRDefault="00324AB8" w:rsidP="00956EDA">
      <w:pPr>
        <w:numPr>
          <w:ilvl w:val="0"/>
          <w:numId w:val="3"/>
        </w:numPr>
        <w:spacing w:after="0" w:line="240" w:lineRule="auto"/>
        <w:jc w:val="both"/>
        <w:rPr>
          <w:sz w:val="24"/>
          <w:szCs w:val="24"/>
        </w:rPr>
      </w:pPr>
      <w:r w:rsidRPr="003D7092">
        <w:rPr>
          <w:sz w:val="24"/>
          <w:szCs w:val="24"/>
        </w:rPr>
        <w:t xml:space="preserve">A l’issue de la mission, </w:t>
      </w:r>
      <w:r w:rsidR="00CF4C53" w:rsidRPr="003D7092">
        <w:rPr>
          <w:sz w:val="24"/>
          <w:szCs w:val="24"/>
        </w:rPr>
        <w:t>le</w:t>
      </w:r>
      <w:r w:rsidR="003A4E72">
        <w:rPr>
          <w:sz w:val="24"/>
          <w:szCs w:val="24"/>
        </w:rPr>
        <w:t>/la</w:t>
      </w:r>
      <w:r w:rsidR="003A0F25">
        <w:rPr>
          <w:sz w:val="24"/>
          <w:szCs w:val="24"/>
        </w:rPr>
        <w:t xml:space="preserve"> </w:t>
      </w:r>
      <w:r w:rsidRPr="003D7092">
        <w:rPr>
          <w:sz w:val="24"/>
          <w:szCs w:val="24"/>
        </w:rPr>
        <w:t>consultant</w:t>
      </w:r>
      <w:r w:rsidR="003A4E72">
        <w:rPr>
          <w:sz w:val="24"/>
          <w:szCs w:val="24"/>
        </w:rPr>
        <w:t>(e)</w:t>
      </w:r>
      <w:r w:rsidR="00496009">
        <w:rPr>
          <w:sz w:val="24"/>
          <w:szCs w:val="24"/>
        </w:rPr>
        <w:t xml:space="preserve">aura </w:t>
      </w:r>
      <w:r w:rsidR="003A4E72">
        <w:rPr>
          <w:sz w:val="24"/>
          <w:szCs w:val="24"/>
        </w:rPr>
        <w:t xml:space="preserve">rédigé </w:t>
      </w:r>
      <w:r w:rsidR="00956EDA">
        <w:rPr>
          <w:sz w:val="24"/>
          <w:szCs w:val="24"/>
        </w:rPr>
        <w:t>les livrables</w:t>
      </w:r>
      <w:r w:rsidRPr="003D7092">
        <w:rPr>
          <w:sz w:val="24"/>
          <w:szCs w:val="24"/>
        </w:rPr>
        <w:t xml:space="preserve"> tel</w:t>
      </w:r>
      <w:r w:rsidR="00956EDA">
        <w:rPr>
          <w:sz w:val="24"/>
          <w:szCs w:val="24"/>
        </w:rPr>
        <w:t>s</w:t>
      </w:r>
      <w:r w:rsidRPr="003D7092">
        <w:rPr>
          <w:sz w:val="24"/>
          <w:szCs w:val="24"/>
        </w:rPr>
        <w:t xml:space="preserve"> que défini</w:t>
      </w:r>
      <w:r w:rsidR="00956EDA">
        <w:rPr>
          <w:sz w:val="24"/>
          <w:szCs w:val="24"/>
        </w:rPr>
        <w:t>s</w:t>
      </w:r>
      <w:r w:rsidRPr="003D7092">
        <w:rPr>
          <w:sz w:val="24"/>
          <w:szCs w:val="24"/>
        </w:rPr>
        <w:t xml:space="preserve"> dans le produit et les taches. </w:t>
      </w:r>
    </w:p>
    <w:p w:rsidR="003D7092" w:rsidRDefault="003D7092" w:rsidP="00FF3ACD">
      <w:pPr>
        <w:spacing w:after="0" w:line="240" w:lineRule="auto"/>
        <w:jc w:val="both"/>
        <w:rPr>
          <w:b/>
          <w:sz w:val="24"/>
          <w:szCs w:val="24"/>
          <w:u w:val="single"/>
        </w:rPr>
      </w:pPr>
    </w:p>
    <w:p w:rsidR="00324AB8" w:rsidRPr="003D7092" w:rsidRDefault="003D7092" w:rsidP="00FF3ACD">
      <w:pPr>
        <w:spacing w:after="0" w:line="240" w:lineRule="auto"/>
        <w:jc w:val="both"/>
        <w:rPr>
          <w:b/>
          <w:sz w:val="24"/>
          <w:szCs w:val="24"/>
          <w:u w:val="single"/>
        </w:rPr>
      </w:pPr>
      <w:r w:rsidRPr="003D7092">
        <w:rPr>
          <w:b/>
          <w:sz w:val="24"/>
          <w:szCs w:val="24"/>
          <w:u w:val="single"/>
        </w:rPr>
        <w:t>HONORAIRES ET MODALITES DE PAIEMENT :</w:t>
      </w:r>
    </w:p>
    <w:p w:rsidR="00324AB8" w:rsidRPr="003D7092" w:rsidRDefault="00324AB8" w:rsidP="005059C0">
      <w:pPr>
        <w:spacing w:after="0" w:line="240" w:lineRule="auto"/>
        <w:ind w:firstLine="284"/>
        <w:jc w:val="both"/>
        <w:rPr>
          <w:sz w:val="24"/>
          <w:szCs w:val="24"/>
        </w:rPr>
      </w:pPr>
      <w:r w:rsidRPr="003D7092">
        <w:rPr>
          <w:sz w:val="24"/>
          <w:szCs w:val="24"/>
        </w:rPr>
        <w:t xml:space="preserve">A l’issue du travail demandé et de la remise du rapport requis qui aura été jugé acceptable par le comité </w:t>
      </w:r>
      <w:r w:rsidR="005059C0">
        <w:rPr>
          <w:sz w:val="24"/>
          <w:szCs w:val="24"/>
        </w:rPr>
        <w:t>technique restreint</w:t>
      </w:r>
      <w:r w:rsidRPr="003D7092">
        <w:rPr>
          <w:sz w:val="24"/>
          <w:szCs w:val="24"/>
        </w:rPr>
        <w:t xml:space="preserve">, </w:t>
      </w:r>
      <w:r w:rsidR="00CF4C53" w:rsidRPr="003D7092">
        <w:rPr>
          <w:sz w:val="24"/>
          <w:szCs w:val="24"/>
        </w:rPr>
        <w:t>le</w:t>
      </w:r>
      <w:r w:rsidR="005059C0">
        <w:rPr>
          <w:sz w:val="24"/>
          <w:szCs w:val="24"/>
        </w:rPr>
        <w:t>(a)</w:t>
      </w:r>
      <w:r w:rsidRPr="003D7092">
        <w:rPr>
          <w:sz w:val="24"/>
          <w:szCs w:val="24"/>
        </w:rPr>
        <w:t>consultant</w:t>
      </w:r>
      <w:r w:rsidR="005059C0">
        <w:rPr>
          <w:sz w:val="24"/>
          <w:szCs w:val="24"/>
        </w:rPr>
        <w:t>(e)</w:t>
      </w:r>
      <w:r w:rsidRPr="003D7092">
        <w:rPr>
          <w:sz w:val="24"/>
          <w:szCs w:val="24"/>
        </w:rPr>
        <w:t xml:space="preserve"> percevr</w:t>
      </w:r>
      <w:r w:rsidR="00394AB0" w:rsidRPr="003D7092">
        <w:rPr>
          <w:sz w:val="24"/>
          <w:szCs w:val="24"/>
        </w:rPr>
        <w:t>a</w:t>
      </w:r>
      <w:r w:rsidRPr="003D7092">
        <w:rPr>
          <w:sz w:val="24"/>
          <w:szCs w:val="24"/>
        </w:rPr>
        <w:t xml:space="preserve"> des honoraires en Dinar Tunisien payable comme suit : </w:t>
      </w:r>
    </w:p>
    <w:p w:rsidR="00324AB8" w:rsidRPr="003D7092" w:rsidRDefault="00324AB8" w:rsidP="00FF3ACD">
      <w:pPr>
        <w:numPr>
          <w:ilvl w:val="0"/>
          <w:numId w:val="4"/>
        </w:numPr>
        <w:spacing w:after="0" w:line="240" w:lineRule="auto"/>
        <w:jc w:val="both"/>
        <w:rPr>
          <w:sz w:val="24"/>
          <w:szCs w:val="24"/>
        </w:rPr>
      </w:pPr>
      <w:r w:rsidRPr="003D7092">
        <w:rPr>
          <w:sz w:val="24"/>
          <w:szCs w:val="24"/>
        </w:rPr>
        <w:t xml:space="preserve">30% à la signature du contrat et validation de la note méthodologique.  </w:t>
      </w:r>
    </w:p>
    <w:p w:rsidR="00324AB8" w:rsidRPr="003D7092" w:rsidRDefault="00324AB8" w:rsidP="005059C0">
      <w:pPr>
        <w:numPr>
          <w:ilvl w:val="0"/>
          <w:numId w:val="4"/>
        </w:numPr>
        <w:spacing w:after="0" w:line="240" w:lineRule="auto"/>
        <w:jc w:val="both"/>
        <w:rPr>
          <w:sz w:val="24"/>
          <w:szCs w:val="24"/>
        </w:rPr>
      </w:pPr>
      <w:r w:rsidRPr="003D7092">
        <w:rPr>
          <w:sz w:val="24"/>
          <w:szCs w:val="24"/>
        </w:rPr>
        <w:t xml:space="preserve">30 % </w:t>
      </w:r>
      <w:r w:rsidR="005059C0">
        <w:rPr>
          <w:sz w:val="24"/>
          <w:szCs w:val="24"/>
        </w:rPr>
        <w:t xml:space="preserve">suite à la tenue des ateliers inter régionaux.  </w:t>
      </w:r>
    </w:p>
    <w:p w:rsidR="00324AB8" w:rsidRPr="003D7092" w:rsidRDefault="00324AB8" w:rsidP="00FF3ACD">
      <w:pPr>
        <w:numPr>
          <w:ilvl w:val="0"/>
          <w:numId w:val="4"/>
        </w:numPr>
        <w:spacing w:after="0" w:line="240" w:lineRule="auto"/>
        <w:jc w:val="both"/>
        <w:rPr>
          <w:sz w:val="24"/>
          <w:szCs w:val="24"/>
        </w:rPr>
      </w:pPr>
      <w:r w:rsidRPr="003D7092">
        <w:rPr>
          <w:sz w:val="24"/>
          <w:szCs w:val="24"/>
        </w:rPr>
        <w:t xml:space="preserve">40% à la remise du document final validé par le comité. </w:t>
      </w:r>
    </w:p>
    <w:p w:rsidR="003D7092" w:rsidRDefault="003D7092" w:rsidP="00FF3ACD">
      <w:pPr>
        <w:spacing w:after="0" w:line="240" w:lineRule="auto"/>
        <w:jc w:val="both"/>
        <w:rPr>
          <w:rFonts w:eastAsia="Calibri" w:cstheme="majorBidi"/>
          <w:b/>
          <w:bCs/>
          <w:color w:val="000000" w:themeColor="text1"/>
          <w:sz w:val="24"/>
          <w:szCs w:val="24"/>
          <w:u w:val="single"/>
        </w:rPr>
      </w:pPr>
    </w:p>
    <w:p w:rsidR="00324AB8" w:rsidRPr="003D7092" w:rsidRDefault="003D7092" w:rsidP="00FF3ACD">
      <w:pPr>
        <w:spacing w:after="0" w:line="240" w:lineRule="auto"/>
        <w:jc w:val="both"/>
        <w:rPr>
          <w:rFonts w:eastAsia="Calibri" w:cstheme="majorBidi"/>
          <w:b/>
          <w:bCs/>
          <w:color w:val="000000" w:themeColor="text1"/>
          <w:sz w:val="24"/>
          <w:szCs w:val="24"/>
          <w:u w:val="single"/>
        </w:rPr>
      </w:pPr>
      <w:r w:rsidRPr="003D7092">
        <w:rPr>
          <w:rFonts w:eastAsia="Calibri" w:cstheme="majorBidi"/>
          <w:b/>
          <w:bCs/>
          <w:color w:val="000000" w:themeColor="text1"/>
          <w:sz w:val="24"/>
          <w:szCs w:val="24"/>
          <w:u w:val="single"/>
        </w:rPr>
        <w:t xml:space="preserve">MODALITES DE SOUMISSION </w:t>
      </w:r>
    </w:p>
    <w:p w:rsidR="00324AB8" w:rsidRPr="003D7092" w:rsidRDefault="00394AB0" w:rsidP="00FF3ACD">
      <w:pPr>
        <w:pStyle w:val="Default"/>
        <w:ind w:firstLine="284"/>
        <w:rPr>
          <w:rFonts w:asciiTheme="minorHAnsi" w:hAnsiTheme="minorHAnsi" w:cstheme="majorBidi"/>
        </w:rPr>
      </w:pPr>
      <w:r w:rsidRPr="003D7092">
        <w:rPr>
          <w:rFonts w:asciiTheme="minorHAnsi" w:hAnsiTheme="minorHAnsi" w:cstheme="majorBidi"/>
        </w:rPr>
        <w:t xml:space="preserve">Le </w:t>
      </w:r>
      <w:r w:rsidR="00324AB8" w:rsidRPr="003D7092">
        <w:rPr>
          <w:rFonts w:asciiTheme="minorHAnsi" w:hAnsiTheme="minorHAnsi" w:cstheme="majorBidi"/>
        </w:rPr>
        <w:t xml:space="preserve">consultant </w:t>
      </w:r>
      <w:r w:rsidR="00BF57CD" w:rsidRPr="003D7092">
        <w:rPr>
          <w:rFonts w:asciiTheme="minorHAnsi" w:hAnsiTheme="minorHAnsi" w:cstheme="majorBidi"/>
        </w:rPr>
        <w:t>est appelé à</w:t>
      </w:r>
      <w:r w:rsidR="00324AB8" w:rsidRPr="003D7092">
        <w:rPr>
          <w:rFonts w:asciiTheme="minorHAnsi" w:hAnsiTheme="minorHAnsi" w:cstheme="majorBidi"/>
        </w:rPr>
        <w:t xml:space="preserve"> soumettre un dossier comprenant : </w:t>
      </w:r>
    </w:p>
    <w:p w:rsidR="00324AB8" w:rsidRPr="003D7092" w:rsidRDefault="00324AB8" w:rsidP="00FF3ACD">
      <w:pPr>
        <w:pStyle w:val="Default"/>
        <w:ind w:firstLine="708"/>
        <w:rPr>
          <w:rFonts w:asciiTheme="minorHAnsi" w:hAnsiTheme="minorHAnsi" w:cstheme="majorBidi"/>
        </w:rPr>
      </w:pPr>
      <w:r w:rsidRPr="003D7092">
        <w:rPr>
          <w:rFonts w:asciiTheme="minorHAnsi" w:hAnsiTheme="minorHAnsi" w:cstheme="majorBidi"/>
        </w:rPr>
        <w:t xml:space="preserve">- Une note méthodologique précisant la démarche à adopter dans le travail </w:t>
      </w:r>
      <w:r w:rsidR="00BF57CD" w:rsidRPr="003D7092">
        <w:rPr>
          <w:rFonts w:asciiTheme="minorHAnsi" w:hAnsiTheme="minorHAnsi" w:cstheme="majorBidi"/>
        </w:rPr>
        <w:t>avec u</w:t>
      </w:r>
      <w:r w:rsidRPr="003D7092">
        <w:rPr>
          <w:rFonts w:asciiTheme="minorHAnsi" w:hAnsiTheme="minorHAnsi" w:cstheme="majorBidi"/>
        </w:rPr>
        <w:t xml:space="preserve">n calendrier d’exécution </w:t>
      </w:r>
    </w:p>
    <w:p w:rsidR="00324AB8" w:rsidRDefault="00324AB8" w:rsidP="00FF3ACD">
      <w:pPr>
        <w:pStyle w:val="Default"/>
        <w:ind w:firstLine="708"/>
        <w:rPr>
          <w:rFonts w:asciiTheme="minorHAnsi" w:hAnsiTheme="minorHAnsi" w:cstheme="majorBidi"/>
        </w:rPr>
      </w:pPr>
      <w:r w:rsidRPr="003D7092">
        <w:rPr>
          <w:rFonts w:asciiTheme="minorHAnsi" w:hAnsiTheme="minorHAnsi" w:cstheme="majorBidi"/>
        </w:rPr>
        <w:t xml:space="preserve">- Un CV détaillé actualisé </w:t>
      </w:r>
    </w:p>
    <w:p w:rsidR="00B05815" w:rsidRDefault="00460B72" w:rsidP="00460B72">
      <w:pPr>
        <w:pStyle w:val="Default"/>
        <w:ind w:firstLine="708"/>
        <w:rPr>
          <w:rFonts w:ascii="Arial" w:hAnsi="Arial" w:cs="Arial"/>
          <w:color w:val="222222"/>
          <w:sz w:val="19"/>
          <w:szCs w:val="19"/>
          <w:shd w:val="clear" w:color="auto" w:fill="FFFFFF"/>
        </w:rPr>
      </w:pPr>
      <w:r>
        <w:rPr>
          <w:rFonts w:asciiTheme="minorHAnsi" w:hAnsiTheme="minorHAnsi" w:cstheme="majorBidi"/>
        </w:rPr>
        <w:t>-</w:t>
      </w:r>
      <w:r>
        <w:rPr>
          <w:rStyle w:val="apple-converted-space"/>
          <w:rFonts w:ascii="Arial" w:hAnsi="Arial" w:cs="Arial"/>
          <w:color w:val="222222"/>
          <w:sz w:val="19"/>
          <w:szCs w:val="19"/>
          <w:shd w:val="clear" w:color="auto" w:fill="FFFFFF"/>
        </w:rPr>
        <w:t> </w:t>
      </w:r>
      <w:r>
        <w:rPr>
          <w:rFonts w:asciiTheme="minorHAnsi" w:hAnsiTheme="minorHAnsi" w:cstheme="majorBidi"/>
        </w:rPr>
        <w:t>T</w:t>
      </w:r>
      <w:r w:rsidRPr="00460B72">
        <w:rPr>
          <w:rFonts w:asciiTheme="minorHAnsi" w:hAnsiTheme="minorHAnsi" w:cstheme="majorBidi"/>
        </w:rPr>
        <w:t xml:space="preserve">out candidat </w:t>
      </w:r>
      <w:r>
        <w:rPr>
          <w:rFonts w:asciiTheme="minorHAnsi" w:hAnsiTheme="minorHAnsi" w:cstheme="majorBidi"/>
        </w:rPr>
        <w:t>doit</w:t>
      </w:r>
      <w:r w:rsidRPr="00460B72">
        <w:rPr>
          <w:rFonts w:asciiTheme="minorHAnsi" w:hAnsiTheme="minorHAnsi" w:cstheme="majorBidi"/>
        </w:rPr>
        <w:t xml:space="preserve"> disposer des autorisations et documents nécessaires selon la réglementation tunisienne en se référant à l'arrêté précisant les modalités de l'exercice d'une activité complémentaire rémunéré</w:t>
      </w:r>
      <w:r>
        <w:rPr>
          <w:rFonts w:asciiTheme="minorHAnsi" w:hAnsiTheme="minorHAnsi" w:cstheme="majorBidi"/>
        </w:rPr>
        <w:t xml:space="preserve">e </w:t>
      </w:r>
      <w:r w:rsidRPr="00460B72">
        <w:rPr>
          <w:rFonts w:asciiTheme="minorHAnsi" w:hAnsiTheme="minorHAnsi" w:cstheme="majorBidi"/>
        </w:rPr>
        <w:t xml:space="preserve"> pour les salariés et les retraités.</w:t>
      </w:r>
      <w:r>
        <w:rPr>
          <w:rFonts w:ascii="Arial" w:hAnsi="Arial" w:cs="Arial"/>
          <w:color w:val="222222"/>
          <w:sz w:val="19"/>
          <w:szCs w:val="19"/>
          <w:shd w:val="clear" w:color="auto" w:fill="FFFFFF"/>
        </w:rPr>
        <w:t> </w:t>
      </w:r>
    </w:p>
    <w:p w:rsidR="00460B72" w:rsidRPr="00460B72" w:rsidRDefault="00460B72" w:rsidP="00460B72">
      <w:pPr>
        <w:pStyle w:val="Default"/>
        <w:ind w:firstLine="708"/>
        <w:rPr>
          <w:rFonts w:asciiTheme="minorHAnsi" w:hAnsiTheme="minorHAnsi" w:cstheme="majorBidi"/>
        </w:rPr>
      </w:pPr>
    </w:p>
    <w:p w:rsidR="0096461C" w:rsidRPr="003D7092" w:rsidRDefault="00E37C25" w:rsidP="00030499">
      <w:pPr>
        <w:spacing w:after="0" w:line="240" w:lineRule="auto"/>
        <w:rPr>
          <w:sz w:val="24"/>
          <w:szCs w:val="24"/>
        </w:rPr>
      </w:pPr>
      <w:r>
        <w:rPr>
          <w:sz w:val="24"/>
          <w:szCs w:val="24"/>
        </w:rPr>
        <w:t xml:space="preserve">   </w:t>
      </w:r>
      <w:r w:rsidR="005059C0" w:rsidRPr="005059C0">
        <w:rPr>
          <w:sz w:val="24"/>
          <w:szCs w:val="24"/>
        </w:rPr>
        <w:t xml:space="preserve">Les personnes intéressées par le présent appel à candidature, sont priées d’envoyer leur C.V., accompagné d’une note méthodologique, </w:t>
      </w:r>
      <w:r w:rsidR="005059C0">
        <w:rPr>
          <w:sz w:val="24"/>
          <w:szCs w:val="24"/>
        </w:rPr>
        <w:t xml:space="preserve">à l’adresse email suivante : </w:t>
      </w:r>
      <w:hyperlink r:id="rId9" w:history="1">
        <w:r w:rsidR="00030499" w:rsidRPr="00B718F5">
          <w:rPr>
            <w:rStyle w:val="Lienhypertexte"/>
            <w:sz w:val="24"/>
            <w:szCs w:val="24"/>
          </w:rPr>
          <w:t>sondes.dahnes79@gmail.com</w:t>
        </w:r>
      </w:hyperlink>
      <w:r w:rsidR="00030499">
        <w:rPr>
          <w:sz w:val="24"/>
          <w:szCs w:val="24"/>
        </w:rPr>
        <w:t xml:space="preserve"> </w:t>
      </w:r>
      <w:r w:rsidR="005059C0">
        <w:rPr>
          <w:sz w:val="24"/>
          <w:szCs w:val="24"/>
        </w:rPr>
        <w:t xml:space="preserve">en copiant </w:t>
      </w:r>
      <w:hyperlink r:id="rId10" w:history="1">
        <w:r w:rsidR="00C02A73" w:rsidRPr="006B00A1">
          <w:rPr>
            <w:rStyle w:val="Lienhypertexte"/>
            <w:rFonts w:ascii="Arial" w:hAnsi="Arial" w:cs="Arial"/>
            <w:sz w:val="19"/>
            <w:szCs w:val="19"/>
            <w:shd w:val="clear" w:color="auto" w:fill="FFFFFF"/>
          </w:rPr>
          <w:t>nissafba@yahoo.fr</w:t>
        </w:r>
      </w:hyperlink>
      <w:r w:rsidR="00C02A73">
        <w:rPr>
          <w:rFonts w:ascii="Arial" w:hAnsi="Arial" w:cs="Arial"/>
          <w:color w:val="000000"/>
          <w:sz w:val="19"/>
          <w:szCs w:val="19"/>
          <w:shd w:val="clear" w:color="auto" w:fill="FFFFFF"/>
        </w:rPr>
        <w:t xml:space="preserve"> </w:t>
      </w:r>
      <w:hyperlink r:id="rId11" w:history="1">
        <w:r w:rsidR="00C02A73" w:rsidRPr="006B00A1">
          <w:rPr>
            <w:rStyle w:val="Lienhypertexte"/>
            <w:rFonts w:ascii="Arial" w:hAnsi="Arial" w:cs="Arial"/>
            <w:sz w:val="19"/>
            <w:szCs w:val="19"/>
            <w:shd w:val="clear" w:color="auto" w:fill="FFFFFF"/>
          </w:rPr>
          <w:t>bouafif.nissaf@gmail.com</w:t>
        </w:r>
      </w:hyperlink>
      <w:r w:rsidR="00C02A73">
        <w:rPr>
          <w:rFonts w:ascii="Arial" w:hAnsi="Arial" w:cs="Arial"/>
          <w:color w:val="000000"/>
          <w:sz w:val="19"/>
          <w:szCs w:val="19"/>
          <w:shd w:val="clear" w:color="auto" w:fill="FFFFFF"/>
        </w:rPr>
        <w:t xml:space="preserve"> </w:t>
      </w:r>
      <w:hyperlink r:id="rId12" w:history="1">
        <w:r w:rsidR="00C02A73" w:rsidRPr="006B00A1">
          <w:rPr>
            <w:rStyle w:val="Lienhypertexte"/>
            <w:rFonts w:ascii="Arial" w:hAnsi="Arial" w:cs="Arial"/>
            <w:sz w:val="19"/>
            <w:szCs w:val="19"/>
            <w:shd w:val="clear" w:color="auto" w:fill="FFFFFF"/>
          </w:rPr>
          <w:t>mchaouchm62@gmail.com</w:t>
        </w:r>
      </w:hyperlink>
      <w:r w:rsidR="00C02A73">
        <w:rPr>
          <w:rFonts w:ascii="Arial" w:hAnsi="Arial" w:cs="Arial"/>
          <w:color w:val="000000"/>
          <w:sz w:val="19"/>
          <w:szCs w:val="19"/>
          <w:shd w:val="clear" w:color="auto" w:fill="FFFFFF"/>
        </w:rPr>
        <w:t xml:space="preserve"> </w:t>
      </w:r>
    </w:p>
    <w:sectPr w:rsidR="0096461C" w:rsidRPr="003D7092" w:rsidSect="00262B18">
      <w:footerReference w:type="even" r:id="rId13"/>
      <w:footerReference w:type="default" r:id="rId14"/>
      <w:headerReference w:type="first" r:id="rId15"/>
      <w:footerReference w:type="first" r:id="rId16"/>
      <w:pgSz w:w="11906" w:h="16838"/>
      <w:pgMar w:top="1701" w:right="1701"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BEC" w:rsidRDefault="00E02BEC" w:rsidP="001E5049">
      <w:pPr>
        <w:spacing w:after="0" w:line="240" w:lineRule="auto"/>
      </w:pPr>
      <w:r>
        <w:separator/>
      </w:r>
    </w:p>
  </w:endnote>
  <w:endnote w:type="continuationSeparator" w:id="1">
    <w:p w:rsidR="00E02BEC" w:rsidRDefault="00E02BEC" w:rsidP="001E5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CA" w:rsidRDefault="000F4E0D" w:rsidP="00FB636F">
    <w:pPr>
      <w:pStyle w:val="Pieddepage"/>
      <w:framePr w:wrap="around" w:vAnchor="text" w:hAnchor="margin" w:xAlign="right" w:y="1"/>
      <w:rPr>
        <w:rStyle w:val="Numrodepage"/>
      </w:rPr>
    </w:pPr>
    <w:r>
      <w:rPr>
        <w:rStyle w:val="Numrodepage"/>
      </w:rPr>
      <w:fldChar w:fldCharType="begin"/>
    </w:r>
    <w:r w:rsidR="0096461C">
      <w:rPr>
        <w:rStyle w:val="Numrodepage"/>
      </w:rPr>
      <w:instrText xml:space="preserve">PAGE  </w:instrText>
    </w:r>
    <w:r>
      <w:rPr>
        <w:rStyle w:val="Numrodepage"/>
      </w:rPr>
      <w:fldChar w:fldCharType="end"/>
    </w:r>
  </w:p>
  <w:p w:rsidR="00CE4BCA" w:rsidRDefault="00E02BEC" w:rsidP="005778A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C0" w:rsidRDefault="005059C0" w:rsidP="005059C0">
    <w:pPr>
      <w:pStyle w:val="En-tte"/>
      <w:tabs>
        <w:tab w:val="clear" w:pos="4536"/>
        <w:tab w:val="clear" w:pos="9072"/>
        <w:tab w:val="left" w:pos="3645"/>
        <w:tab w:val="center" w:pos="6480"/>
        <w:tab w:val="left" w:pos="7080"/>
        <w:tab w:val="left" w:pos="9495"/>
        <w:tab w:val="left" w:pos="10995"/>
        <w:tab w:val="left" w:pos="11610"/>
        <w:tab w:val="left" w:pos="12180"/>
      </w:tabs>
    </w:pPr>
    <w:r>
      <w:rPr>
        <w:noProof/>
        <w:lang w:eastAsia="fr-FR"/>
      </w:rPr>
      <w:drawing>
        <wp:inline distT="0" distB="0" distL="0" distR="0">
          <wp:extent cx="400050" cy="400050"/>
          <wp:effectExtent l="0" t="0" r="0" b="0"/>
          <wp:docPr id="7" name="Picture 7" descr="D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S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inline>
      </w:drawing>
    </w:r>
    <w:r>
      <w:rPr>
        <w:noProof/>
        <w:lang w:eastAsia="fr-FR"/>
      </w:rPr>
      <w:drawing>
        <wp:inline distT="0" distB="0" distL="0" distR="0">
          <wp:extent cx="1169126" cy="228600"/>
          <wp:effectExtent l="0" t="0" r="0" b="0"/>
          <wp:docPr id="13" name="Picture 1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661" cy="229096"/>
                  </a:xfrm>
                  <a:prstGeom prst="rect">
                    <a:avLst/>
                  </a:prstGeom>
                  <a:noFill/>
                  <a:ln>
                    <a:noFill/>
                  </a:ln>
                </pic:spPr>
              </pic:pic>
            </a:graphicData>
          </a:graphic>
        </wp:inline>
      </w:drawing>
    </w:r>
    <w:r>
      <w:rPr>
        <w:noProof/>
        <w:lang w:eastAsia="fr-FR"/>
      </w:rPr>
      <w:drawing>
        <wp:inline distT="0" distB="0" distL="0" distR="0">
          <wp:extent cx="759480" cy="2667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505" cy="269518"/>
                  </a:xfrm>
                  <a:prstGeom prst="rect">
                    <a:avLst/>
                  </a:prstGeom>
                  <a:noFill/>
                </pic:spPr>
              </pic:pic>
            </a:graphicData>
          </a:graphic>
        </wp:inline>
      </w:drawing>
    </w:r>
    <w:r>
      <w:rPr>
        <w:noProof/>
        <w:lang w:eastAsia="fr-FR"/>
      </w:rPr>
      <w:drawing>
        <wp:inline distT="0" distB="0" distL="0" distR="0">
          <wp:extent cx="453601" cy="37147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516" cy="373043"/>
                  </a:xfrm>
                  <a:prstGeom prst="rect">
                    <a:avLst/>
                  </a:prstGeom>
                  <a:noFill/>
                </pic:spPr>
              </pic:pic>
            </a:graphicData>
          </a:graphic>
        </wp:inline>
      </w:drawing>
    </w:r>
    <w:r>
      <w:tab/>
    </w:r>
    <w:r>
      <w:rPr>
        <w:noProof/>
        <w:lang w:eastAsia="fr-FR"/>
      </w:rPr>
      <w:drawing>
        <wp:inline distT="0" distB="0" distL="0" distR="0">
          <wp:extent cx="755476" cy="36195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493" cy="365312"/>
                  </a:xfrm>
                  <a:prstGeom prst="rect">
                    <a:avLst/>
                  </a:prstGeom>
                  <a:noFill/>
                </pic:spPr>
              </pic:pic>
            </a:graphicData>
          </a:graphic>
        </wp:inline>
      </w:drawing>
    </w:r>
    <w:r>
      <w:tab/>
    </w:r>
    <w:r>
      <w:tab/>
    </w:r>
  </w:p>
  <w:p w:rsidR="00CE4BCA" w:rsidRPr="00604B2F" w:rsidRDefault="0096461C">
    <w:pPr>
      <w:pStyle w:val="Pieddepage"/>
      <w:jc w:val="right"/>
      <w:rPr>
        <w:sz w:val="22"/>
        <w:szCs w:val="22"/>
      </w:rPr>
    </w:pPr>
    <w:r w:rsidRPr="00604B2F">
      <w:rPr>
        <w:sz w:val="22"/>
        <w:szCs w:val="22"/>
      </w:rPr>
      <w:t xml:space="preserve">Page | </w:t>
    </w:r>
    <w:r w:rsidR="000F4E0D" w:rsidRPr="00604B2F">
      <w:rPr>
        <w:sz w:val="22"/>
        <w:szCs w:val="22"/>
      </w:rPr>
      <w:fldChar w:fldCharType="begin"/>
    </w:r>
    <w:r w:rsidRPr="00604B2F">
      <w:rPr>
        <w:sz w:val="22"/>
        <w:szCs w:val="22"/>
      </w:rPr>
      <w:instrText xml:space="preserve"> PAGE   \* MERGEFORMAT </w:instrText>
    </w:r>
    <w:r w:rsidR="000F4E0D" w:rsidRPr="00604B2F">
      <w:rPr>
        <w:sz w:val="22"/>
        <w:szCs w:val="22"/>
      </w:rPr>
      <w:fldChar w:fldCharType="separate"/>
    </w:r>
    <w:r w:rsidR="00D27DA8">
      <w:rPr>
        <w:noProof/>
        <w:sz w:val="22"/>
        <w:szCs w:val="22"/>
      </w:rPr>
      <w:t>4</w:t>
    </w:r>
    <w:r w:rsidR="000F4E0D" w:rsidRPr="00604B2F">
      <w:rPr>
        <w:sz w:val="22"/>
        <w:szCs w:val="22"/>
      </w:rPr>
      <w:fldChar w:fldCharType="end"/>
    </w:r>
  </w:p>
  <w:p w:rsidR="00C805E2" w:rsidRDefault="0096461C" w:rsidP="00C805E2">
    <w:pPr>
      <w:pStyle w:val="En-tte"/>
      <w:tabs>
        <w:tab w:val="clear" w:pos="4536"/>
        <w:tab w:val="clear" w:pos="9072"/>
        <w:tab w:val="left" w:pos="3645"/>
        <w:tab w:val="center" w:pos="6480"/>
        <w:tab w:val="left" w:pos="7080"/>
        <w:tab w:val="left" w:pos="9495"/>
        <w:tab w:val="left" w:pos="10995"/>
        <w:tab w:val="left" w:pos="11610"/>
        <w:tab w:val="left" w:pos="12180"/>
      </w:tabs>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E2" w:rsidRDefault="0096461C" w:rsidP="00C805E2">
    <w:pPr>
      <w:pStyle w:val="En-tte"/>
      <w:tabs>
        <w:tab w:val="clear" w:pos="4536"/>
        <w:tab w:val="clear" w:pos="9072"/>
        <w:tab w:val="left" w:pos="3645"/>
        <w:tab w:val="center" w:pos="6480"/>
        <w:tab w:val="left" w:pos="7080"/>
        <w:tab w:val="left" w:pos="9495"/>
        <w:tab w:val="left" w:pos="10995"/>
        <w:tab w:val="left" w:pos="11610"/>
        <w:tab w:val="left" w:pos="12180"/>
      </w:tabs>
    </w:pPr>
    <w:r>
      <w:rPr>
        <w:noProof/>
        <w:lang w:eastAsia="fr-FR"/>
      </w:rPr>
      <w:drawing>
        <wp:inline distT="0" distB="0" distL="0" distR="0">
          <wp:extent cx="400050" cy="400050"/>
          <wp:effectExtent l="0" t="0" r="0" b="0"/>
          <wp:docPr id="17" name="Picture 17" descr="D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S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inline>
      </w:drawing>
    </w:r>
    <w:r>
      <w:rPr>
        <w:noProof/>
        <w:lang w:eastAsia="fr-FR"/>
      </w:rPr>
      <w:drawing>
        <wp:inline distT="0" distB="0" distL="0" distR="0">
          <wp:extent cx="1169126" cy="22860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661" cy="229096"/>
                  </a:xfrm>
                  <a:prstGeom prst="rect">
                    <a:avLst/>
                  </a:prstGeom>
                  <a:noFill/>
                  <a:ln>
                    <a:noFill/>
                  </a:ln>
                </pic:spPr>
              </pic:pic>
            </a:graphicData>
          </a:graphic>
        </wp:inline>
      </w:drawing>
    </w:r>
    <w:r>
      <w:rPr>
        <w:noProof/>
        <w:lang w:eastAsia="fr-FR"/>
      </w:rPr>
      <w:drawing>
        <wp:inline distT="0" distB="0" distL="0" distR="0">
          <wp:extent cx="759480" cy="2667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505" cy="269518"/>
                  </a:xfrm>
                  <a:prstGeom prst="rect">
                    <a:avLst/>
                  </a:prstGeom>
                  <a:noFill/>
                </pic:spPr>
              </pic:pic>
            </a:graphicData>
          </a:graphic>
        </wp:inline>
      </w:drawing>
    </w:r>
    <w:r>
      <w:rPr>
        <w:noProof/>
        <w:lang w:eastAsia="fr-FR"/>
      </w:rPr>
      <w:drawing>
        <wp:inline distT="0" distB="0" distL="0" distR="0">
          <wp:extent cx="453601" cy="37147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516" cy="373043"/>
                  </a:xfrm>
                  <a:prstGeom prst="rect">
                    <a:avLst/>
                  </a:prstGeom>
                  <a:noFill/>
                </pic:spPr>
              </pic:pic>
            </a:graphicData>
          </a:graphic>
        </wp:inline>
      </w:drawing>
    </w:r>
    <w:r>
      <w:tab/>
    </w:r>
    <w:r>
      <w:rPr>
        <w:noProof/>
        <w:lang w:eastAsia="fr-FR"/>
      </w:rPr>
      <w:drawing>
        <wp:inline distT="0" distB="0" distL="0" distR="0">
          <wp:extent cx="755476" cy="36195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493" cy="365312"/>
                  </a:xfrm>
                  <a:prstGeom prst="rect">
                    <a:avLst/>
                  </a:prstGeom>
                  <a:noFill/>
                </pic:spPr>
              </pic:pic>
            </a:graphicData>
          </a:graphic>
        </wp:inline>
      </w:drawing>
    </w:r>
    <w:r>
      <w:tab/>
    </w:r>
    <w:r>
      <w:tab/>
    </w:r>
  </w:p>
  <w:p w:rsidR="00CE4BCA" w:rsidRPr="00C52132" w:rsidRDefault="0096461C">
    <w:pPr>
      <w:pStyle w:val="Pieddepage"/>
      <w:jc w:val="right"/>
      <w:rPr>
        <w:rFonts w:ascii="Calibri" w:hAnsi="Calibri"/>
        <w:sz w:val="22"/>
        <w:szCs w:val="22"/>
      </w:rPr>
    </w:pPr>
    <w:r w:rsidRPr="00C52132">
      <w:rPr>
        <w:rFonts w:ascii="Calibri" w:hAnsi="Calibri"/>
        <w:sz w:val="22"/>
        <w:szCs w:val="22"/>
      </w:rPr>
      <w:t xml:space="preserve">Page | </w:t>
    </w:r>
    <w:r w:rsidR="000F4E0D" w:rsidRPr="00C52132">
      <w:rPr>
        <w:rFonts w:ascii="Calibri" w:hAnsi="Calibri"/>
        <w:sz w:val="22"/>
        <w:szCs w:val="22"/>
      </w:rPr>
      <w:fldChar w:fldCharType="begin"/>
    </w:r>
    <w:r w:rsidRPr="00C52132">
      <w:rPr>
        <w:rFonts w:ascii="Calibri" w:hAnsi="Calibri"/>
        <w:sz w:val="22"/>
        <w:szCs w:val="22"/>
      </w:rPr>
      <w:instrText xml:space="preserve"> PAGE   \* MERGEFORMAT </w:instrText>
    </w:r>
    <w:r w:rsidR="000F4E0D" w:rsidRPr="00C52132">
      <w:rPr>
        <w:rFonts w:ascii="Calibri" w:hAnsi="Calibri"/>
        <w:sz w:val="22"/>
        <w:szCs w:val="22"/>
      </w:rPr>
      <w:fldChar w:fldCharType="separate"/>
    </w:r>
    <w:r w:rsidR="00D27DA8">
      <w:rPr>
        <w:rFonts w:ascii="Calibri" w:hAnsi="Calibri"/>
        <w:noProof/>
        <w:sz w:val="22"/>
        <w:szCs w:val="22"/>
      </w:rPr>
      <w:t>1</w:t>
    </w:r>
    <w:r w:rsidR="000F4E0D" w:rsidRPr="00C52132">
      <w:rPr>
        <w:rFonts w:ascii="Calibri" w:hAnsi="Calibri"/>
        <w:sz w:val="22"/>
        <w:szCs w:val="22"/>
      </w:rPr>
      <w:fldChar w:fldCharType="end"/>
    </w:r>
  </w:p>
  <w:p w:rsidR="00CE4BCA" w:rsidRDefault="00E02B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BEC" w:rsidRDefault="00E02BEC" w:rsidP="001E5049">
      <w:pPr>
        <w:spacing w:after="0" w:line="240" w:lineRule="auto"/>
      </w:pPr>
      <w:r>
        <w:separator/>
      </w:r>
    </w:p>
  </w:footnote>
  <w:footnote w:type="continuationSeparator" w:id="1">
    <w:p w:rsidR="00E02BEC" w:rsidRDefault="00E02BEC" w:rsidP="001E5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C0" w:rsidRDefault="005059C0" w:rsidP="005059C0">
    <w:pPr>
      <w:spacing w:after="0"/>
      <w:jc w:val="center"/>
      <w:rPr>
        <w:rFonts w:ascii="CG Times (W1)" w:hAnsi="CG Times (W1)"/>
      </w:rPr>
    </w:pPr>
    <w:r>
      <w:rPr>
        <w:noProof/>
      </w:rPr>
      <w:drawing>
        <wp:inline distT="0" distB="0" distL="0" distR="0">
          <wp:extent cx="1295400" cy="647700"/>
          <wp:effectExtent l="0" t="0" r="0" b="0"/>
          <wp:docPr id="6" name="Picture 6" descr="Résultat de recherche d'images pour &quot;drapeau de la tunis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drapeau de la tunisie&quo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7074" cy="648537"/>
                  </a:xfrm>
                  <a:prstGeom prst="rect">
                    <a:avLst/>
                  </a:prstGeom>
                  <a:noFill/>
                  <a:ln>
                    <a:noFill/>
                  </a:ln>
                </pic:spPr>
              </pic:pic>
            </a:graphicData>
          </a:graphic>
        </wp:inline>
      </w:drawing>
    </w:r>
  </w:p>
  <w:p w:rsidR="005059C0" w:rsidRPr="005059C0" w:rsidRDefault="005059C0" w:rsidP="005059C0">
    <w:pPr>
      <w:spacing w:after="0"/>
      <w:jc w:val="center"/>
      <w:rPr>
        <w:rFonts w:ascii="CG Times (W1)" w:hAnsi="CG Times (W1)"/>
        <w:sz w:val="16"/>
        <w:szCs w:val="16"/>
      </w:rPr>
    </w:pPr>
    <w:r w:rsidRPr="005059C0">
      <w:rPr>
        <w:rFonts w:ascii="CG Times (W1)" w:hAnsi="CG Times (W1)"/>
        <w:sz w:val="16"/>
        <w:szCs w:val="16"/>
      </w:rPr>
      <w:t>Ministère de la Santé</w:t>
    </w:r>
  </w:p>
  <w:p w:rsidR="008868B8" w:rsidRDefault="00B20159" w:rsidP="00D60BEA">
    <w:pPr>
      <w:jc w:val="center"/>
      <w:rPr>
        <w:rFonts w:ascii="Tw Cen MT" w:hAnsi="Tw Cen MT" w:cs="Arial"/>
        <w:color w:val="808080"/>
        <w:sz w:val="18"/>
      </w:rPr>
    </w:pPr>
    <w:r>
      <w:rPr>
        <w:rFonts w:ascii="CG Times (W1)" w:hAnsi="CG Times (W1)"/>
      </w:rPr>
      <w:t>Programme conjoint santé maternelle et néonatale</w:t>
    </w:r>
  </w:p>
  <w:p w:rsidR="008868B8" w:rsidRDefault="00E02BE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6BF8"/>
    <w:multiLevelType w:val="hybridMultilevel"/>
    <w:tmpl w:val="B506382E"/>
    <w:lvl w:ilvl="0" w:tplc="040C0001">
      <w:start w:val="1"/>
      <w:numFmt w:val="bullet"/>
      <w:lvlText w:val=""/>
      <w:lvlJc w:val="left"/>
      <w:pPr>
        <w:ind w:left="1469" w:hanging="360"/>
      </w:pPr>
      <w:rPr>
        <w:rFonts w:ascii="Symbol" w:hAnsi="Symbol" w:hint="default"/>
      </w:rPr>
    </w:lvl>
    <w:lvl w:ilvl="1" w:tplc="040C0003" w:tentative="1">
      <w:start w:val="1"/>
      <w:numFmt w:val="bullet"/>
      <w:lvlText w:val="o"/>
      <w:lvlJc w:val="left"/>
      <w:pPr>
        <w:ind w:left="2189" w:hanging="360"/>
      </w:pPr>
      <w:rPr>
        <w:rFonts w:ascii="Courier New" w:hAnsi="Courier New" w:cs="Courier New" w:hint="default"/>
      </w:rPr>
    </w:lvl>
    <w:lvl w:ilvl="2" w:tplc="040C0005" w:tentative="1">
      <w:start w:val="1"/>
      <w:numFmt w:val="bullet"/>
      <w:lvlText w:val=""/>
      <w:lvlJc w:val="left"/>
      <w:pPr>
        <w:ind w:left="2909" w:hanging="360"/>
      </w:pPr>
      <w:rPr>
        <w:rFonts w:ascii="Wingdings" w:hAnsi="Wingdings" w:hint="default"/>
      </w:rPr>
    </w:lvl>
    <w:lvl w:ilvl="3" w:tplc="040C0001" w:tentative="1">
      <w:start w:val="1"/>
      <w:numFmt w:val="bullet"/>
      <w:lvlText w:val=""/>
      <w:lvlJc w:val="left"/>
      <w:pPr>
        <w:ind w:left="3629" w:hanging="360"/>
      </w:pPr>
      <w:rPr>
        <w:rFonts w:ascii="Symbol" w:hAnsi="Symbol" w:hint="default"/>
      </w:rPr>
    </w:lvl>
    <w:lvl w:ilvl="4" w:tplc="040C0003" w:tentative="1">
      <w:start w:val="1"/>
      <w:numFmt w:val="bullet"/>
      <w:lvlText w:val="o"/>
      <w:lvlJc w:val="left"/>
      <w:pPr>
        <w:ind w:left="4349" w:hanging="360"/>
      </w:pPr>
      <w:rPr>
        <w:rFonts w:ascii="Courier New" w:hAnsi="Courier New" w:cs="Courier New" w:hint="default"/>
      </w:rPr>
    </w:lvl>
    <w:lvl w:ilvl="5" w:tplc="040C0005" w:tentative="1">
      <w:start w:val="1"/>
      <w:numFmt w:val="bullet"/>
      <w:lvlText w:val=""/>
      <w:lvlJc w:val="left"/>
      <w:pPr>
        <w:ind w:left="5069" w:hanging="360"/>
      </w:pPr>
      <w:rPr>
        <w:rFonts w:ascii="Wingdings" w:hAnsi="Wingdings" w:hint="default"/>
      </w:rPr>
    </w:lvl>
    <w:lvl w:ilvl="6" w:tplc="040C0001" w:tentative="1">
      <w:start w:val="1"/>
      <w:numFmt w:val="bullet"/>
      <w:lvlText w:val=""/>
      <w:lvlJc w:val="left"/>
      <w:pPr>
        <w:ind w:left="5789" w:hanging="360"/>
      </w:pPr>
      <w:rPr>
        <w:rFonts w:ascii="Symbol" w:hAnsi="Symbol" w:hint="default"/>
      </w:rPr>
    </w:lvl>
    <w:lvl w:ilvl="7" w:tplc="040C0003" w:tentative="1">
      <w:start w:val="1"/>
      <w:numFmt w:val="bullet"/>
      <w:lvlText w:val="o"/>
      <w:lvlJc w:val="left"/>
      <w:pPr>
        <w:ind w:left="6509" w:hanging="360"/>
      </w:pPr>
      <w:rPr>
        <w:rFonts w:ascii="Courier New" w:hAnsi="Courier New" w:cs="Courier New" w:hint="default"/>
      </w:rPr>
    </w:lvl>
    <w:lvl w:ilvl="8" w:tplc="040C0005" w:tentative="1">
      <w:start w:val="1"/>
      <w:numFmt w:val="bullet"/>
      <w:lvlText w:val=""/>
      <w:lvlJc w:val="left"/>
      <w:pPr>
        <w:ind w:left="7229" w:hanging="360"/>
      </w:pPr>
      <w:rPr>
        <w:rFonts w:ascii="Wingdings" w:hAnsi="Wingdings" w:hint="default"/>
      </w:rPr>
    </w:lvl>
  </w:abstractNum>
  <w:abstractNum w:abstractNumId="1">
    <w:nsid w:val="1DC00AA2"/>
    <w:multiLevelType w:val="hybridMultilevel"/>
    <w:tmpl w:val="2166894E"/>
    <w:lvl w:ilvl="0" w:tplc="530E99C0">
      <w:start w:val="3"/>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23650ACB"/>
    <w:multiLevelType w:val="hybridMultilevel"/>
    <w:tmpl w:val="6AAA793A"/>
    <w:lvl w:ilvl="0" w:tplc="530E99C0">
      <w:start w:val="3"/>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83663C4"/>
    <w:multiLevelType w:val="hybridMultilevel"/>
    <w:tmpl w:val="0D92DF2A"/>
    <w:lvl w:ilvl="0" w:tplc="FFFFFFFF">
      <w:start w:val="1"/>
      <w:numFmt w:val="lowerRoman"/>
      <w:lvlText w:val="%1)"/>
      <w:lvlJc w:val="left"/>
      <w:pPr>
        <w:tabs>
          <w:tab w:val="num" w:pos="780"/>
        </w:tabs>
        <w:ind w:left="780" w:hanging="720"/>
      </w:pPr>
      <w:rPr>
        <w:rFonts w:hint="default"/>
      </w:rPr>
    </w:lvl>
    <w:lvl w:ilvl="1" w:tplc="FFFFFFFF">
      <w:start w:val="1"/>
      <w:numFmt w:val="upperLetter"/>
      <w:lvlText w:val="%2)"/>
      <w:lvlJc w:val="left"/>
      <w:pPr>
        <w:tabs>
          <w:tab w:val="num" w:pos="1140"/>
        </w:tabs>
        <w:ind w:left="1140" w:hanging="360"/>
      </w:pPr>
      <w:rPr>
        <w:rFonts w:hint="default"/>
      </w:rPr>
    </w:lvl>
    <w:lvl w:ilvl="2" w:tplc="0A688B4A">
      <w:start w:val="7"/>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
    <w:nsid w:val="298A3C46"/>
    <w:multiLevelType w:val="hybridMultilevel"/>
    <w:tmpl w:val="0C046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7A6A66"/>
    <w:multiLevelType w:val="hybridMultilevel"/>
    <w:tmpl w:val="0F7AFB00"/>
    <w:lvl w:ilvl="0" w:tplc="CAC47464">
      <w:start w:val="1"/>
      <w:numFmt w:val="bullet"/>
      <w:lvlText w:val=""/>
      <w:lvlJc w:val="left"/>
      <w:pPr>
        <w:ind w:left="749" w:hanging="465"/>
      </w:pPr>
      <w:rPr>
        <w:rFonts w:ascii="Symbol" w:hAnsi="Symbol" w:hint="default"/>
        <w:color w:val="auto"/>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1">
      <w:start w:val="1"/>
      <w:numFmt w:val="bullet"/>
      <w:lvlText w:val=""/>
      <w:lvlJc w:val="left"/>
      <w:pPr>
        <w:ind w:left="644" w:hanging="360"/>
      </w:pPr>
      <w:rPr>
        <w:rFonts w:ascii="Symbol" w:hAnsi="Symbol" w:hint="default"/>
      </w:r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6">
    <w:nsid w:val="31DA314E"/>
    <w:multiLevelType w:val="hybridMultilevel"/>
    <w:tmpl w:val="1E32E950"/>
    <w:lvl w:ilvl="0" w:tplc="EE166758">
      <w:start w:val="1"/>
      <w:numFmt w:val="lowerLetter"/>
      <w:lvlText w:val="(%1)"/>
      <w:lvlJc w:val="left"/>
      <w:pPr>
        <w:ind w:left="480" w:hanging="360"/>
      </w:pPr>
      <w:rPr>
        <w:rFonts w:ascii="Tw Cen MT" w:eastAsia="Times New Roman" w:hAnsi="Tw Cen MT" w:cs="Times New Roman"/>
      </w:rPr>
    </w:lvl>
    <w:lvl w:ilvl="1" w:tplc="040C0001">
      <w:start w:val="1"/>
      <w:numFmt w:val="bullet"/>
      <w:lvlText w:val=""/>
      <w:lvlJc w:val="left"/>
      <w:pPr>
        <w:tabs>
          <w:tab w:val="num" w:pos="1200"/>
        </w:tabs>
        <w:ind w:left="1200" w:hanging="360"/>
      </w:pPr>
      <w:rPr>
        <w:rFonts w:ascii="Symbol" w:hAnsi="Symbol" w:hint="default"/>
      </w:rPr>
    </w:lvl>
    <w:lvl w:ilvl="2" w:tplc="040C0005">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
    <w:nsid w:val="39D02AC9"/>
    <w:multiLevelType w:val="hybridMultilevel"/>
    <w:tmpl w:val="3C6C7AC6"/>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nsid w:val="42DF34DD"/>
    <w:multiLevelType w:val="hybridMultilevel"/>
    <w:tmpl w:val="9718E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B0268B"/>
    <w:multiLevelType w:val="hybridMultilevel"/>
    <w:tmpl w:val="C04CD9A8"/>
    <w:lvl w:ilvl="0" w:tplc="530E99C0">
      <w:start w:val="3"/>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6B9F7D43"/>
    <w:multiLevelType w:val="hybridMultilevel"/>
    <w:tmpl w:val="525051A8"/>
    <w:lvl w:ilvl="0" w:tplc="E24408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DF4B23"/>
    <w:multiLevelType w:val="hybridMultilevel"/>
    <w:tmpl w:val="44F27F54"/>
    <w:lvl w:ilvl="0" w:tplc="530E99C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1"/>
  </w:num>
  <w:num w:numId="5">
    <w:abstractNumId w:val="7"/>
  </w:num>
  <w:num w:numId="6">
    <w:abstractNumId w:val="0"/>
  </w:num>
  <w:num w:numId="7">
    <w:abstractNumId w:val="8"/>
  </w:num>
  <w:num w:numId="8">
    <w:abstractNumId w:val="4"/>
  </w:num>
  <w:num w:numId="9">
    <w:abstractNumId w:val="9"/>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useFELayout/>
  </w:compat>
  <w:rsids>
    <w:rsidRoot w:val="00324AB8"/>
    <w:rsid w:val="00030499"/>
    <w:rsid w:val="00097D36"/>
    <w:rsid w:val="000C404A"/>
    <w:rsid w:val="000E2AE0"/>
    <w:rsid w:val="000F4E0D"/>
    <w:rsid w:val="00141275"/>
    <w:rsid w:val="00184C9F"/>
    <w:rsid w:val="001B0E9B"/>
    <w:rsid w:val="001E5049"/>
    <w:rsid w:val="001F7170"/>
    <w:rsid w:val="00241DFF"/>
    <w:rsid w:val="002470A2"/>
    <w:rsid w:val="00262B18"/>
    <w:rsid w:val="00265F51"/>
    <w:rsid w:val="00286DBD"/>
    <w:rsid w:val="002E2E03"/>
    <w:rsid w:val="002F73EE"/>
    <w:rsid w:val="003141F5"/>
    <w:rsid w:val="00315C9A"/>
    <w:rsid w:val="003178DE"/>
    <w:rsid w:val="0032055D"/>
    <w:rsid w:val="00324AB8"/>
    <w:rsid w:val="003267DB"/>
    <w:rsid w:val="00380692"/>
    <w:rsid w:val="00394AB0"/>
    <w:rsid w:val="003A0F25"/>
    <w:rsid w:val="003A4E72"/>
    <w:rsid w:val="003A5CBC"/>
    <w:rsid w:val="003D556F"/>
    <w:rsid w:val="003D7092"/>
    <w:rsid w:val="004143E8"/>
    <w:rsid w:val="00460B72"/>
    <w:rsid w:val="00496009"/>
    <w:rsid w:val="004E535A"/>
    <w:rsid w:val="005059C0"/>
    <w:rsid w:val="005120FD"/>
    <w:rsid w:val="005350AD"/>
    <w:rsid w:val="005C6B7E"/>
    <w:rsid w:val="005F6CB9"/>
    <w:rsid w:val="0063254D"/>
    <w:rsid w:val="006470A0"/>
    <w:rsid w:val="006479AD"/>
    <w:rsid w:val="0069212D"/>
    <w:rsid w:val="006C7587"/>
    <w:rsid w:val="0076469C"/>
    <w:rsid w:val="007663C9"/>
    <w:rsid w:val="007D030F"/>
    <w:rsid w:val="008004D2"/>
    <w:rsid w:val="008466BD"/>
    <w:rsid w:val="008563DA"/>
    <w:rsid w:val="00895CC2"/>
    <w:rsid w:val="00956EDA"/>
    <w:rsid w:val="0096461C"/>
    <w:rsid w:val="00992871"/>
    <w:rsid w:val="009F6141"/>
    <w:rsid w:val="00AC395C"/>
    <w:rsid w:val="00B05815"/>
    <w:rsid w:val="00B20159"/>
    <w:rsid w:val="00B321C0"/>
    <w:rsid w:val="00B51F17"/>
    <w:rsid w:val="00BB4C16"/>
    <w:rsid w:val="00BD620E"/>
    <w:rsid w:val="00BF57CD"/>
    <w:rsid w:val="00C02A73"/>
    <w:rsid w:val="00C87EA9"/>
    <w:rsid w:val="00CE7E6B"/>
    <w:rsid w:val="00CF4C53"/>
    <w:rsid w:val="00D047D9"/>
    <w:rsid w:val="00D27DA8"/>
    <w:rsid w:val="00D35E53"/>
    <w:rsid w:val="00D36DEB"/>
    <w:rsid w:val="00D54259"/>
    <w:rsid w:val="00DF026E"/>
    <w:rsid w:val="00E02BEC"/>
    <w:rsid w:val="00E37C25"/>
    <w:rsid w:val="00E56555"/>
    <w:rsid w:val="00EB771F"/>
    <w:rsid w:val="00EC37E2"/>
    <w:rsid w:val="00F01C4D"/>
    <w:rsid w:val="00F54393"/>
    <w:rsid w:val="00FB03F3"/>
    <w:rsid w:val="00FC21BE"/>
    <w:rsid w:val="00FF3A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24AB8"/>
    <w:pPr>
      <w:spacing w:after="240" w:line="240" w:lineRule="atLeast"/>
    </w:pPr>
    <w:rPr>
      <w:rFonts w:ascii="Garamond" w:eastAsia="Times New Roman" w:hAnsi="Garamond" w:cs="Times New Roman"/>
      <w:spacing w:val="-5"/>
      <w:sz w:val="24"/>
      <w:szCs w:val="20"/>
      <w:lang w:eastAsia="en-US"/>
    </w:rPr>
  </w:style>
  <w:style w:type="character" w:customStyle="1" w:styleId="CorpsdetexteCar">
    <w:name w:val="Corps de texte Car"/>
    <w:basedOn w:val="Policepardfaut"/>
    <w:link w:val="Corpsdetexte"/>
    <w:rsid w:val="00324AB8"/>
    <w:rPr>
      <w:rFonts w:ascii="Garamond" w:eastAsia="Times New Roman" w:hAnsi="Garamond" w:cs="Times New Roman"/>
      <w:spacing w:val="-5"/>
      <w:sz w:val="24"/>
      <w:szCs w:val="20"/>
      <w:lang w:eastAsia="en-US"/>
    </w:rPr>
  </w:style>
  <w:style w:type="paragraph" w:styleId="Retraitcorpsdetexte">
    <w:name w:val="Body Text Indent"/>
    <w:basedOn w:val="Corpsdetexte"/>
    <w:link w:val="RetraitcorpsdetexteCar"/>
    <w:rsid w:val="00324AB8"/>
    <w:pPr>
      <w:ind w:firstLine="240"/>
    </w:pPr>
  </w:style>
  <w:style w:type="character" w:customStyle="1" w:styleId="RetraitcorpsdetexteCar">
    <w:name w:val="Retrait corps de texte Car"/>
    <w:basedOn w:val="Policepardfaut"/>
    <w:link w:val="Retraitcorpsdetexte"/>
    <w:rsid w:val="00324AB8"/>
    <w:rPr>
      <w:rFonts w:ascii="Garamond" w:eastAsia="Times New Roman" w:hAnsi="Garamond" w:cs="Times New Roman"/>
      <w:spacing w:val="-5"/>
      <w:sz w:val="24"/>
      <w:szCs w:val="20"/>
      <w:lang w:eastAsia="en-US"/>
    </w:rPr>
  </w:style>
  <w:style w:type="paragraph" w:styleId="Pieddepage">
    <w:name w:val="footer"/>
    <w:basedOn w:val="Normal"/>
    <w:link w:val="PieddepageCar"/>
    <w:uiPriority w:val="99"/>
    <w:rsid w:val="00324AB8"/>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PieddepageCar">
    <w:name w:val="Pied de page Car"/>
    <w:basedOn w:val="Policepardfaut"/>
    <w:link w:val="Pieddepage"/>
    <w:uiPriority w:val="99"/>
    <w:rsid w:val="00324AB8"/>
    <w:rPr>
      <w:rFonts w:ascii="Times New Roman" w:eastAsia="Times New Roman" w:hAnsi="Times New Roman" w:cs="Times New Roman"/>
      <w:sz w:val="24"/>
      <w:szCs w:val="24"/>
      <w:lang w:eastAsia="en-US"/>
    </w:rPr>
  </w:style>
  <w:style w:type="character" w:styleId="Numrodepage">
    <w:name w:val="page number"/>
    <w:basedOn w:val="Policepardfaut"/>
    <w:rsid w:val="00324AB8"/>
  </w:style>
  <w:style w:type="paragraph" w:styleId="En-tte">
    <w:name w:val="header"/>
    <w:basedOn w:val="Normal"/>
    <w:link w:val="En-tteCar"/>
    <w:uiPriority w:val="99"/>
    <w:unhideWhenUsed/>
    <w:rsid w:val="00324AB8"/>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En-tteCar">
    <w:name w:val="En-tête Car"/>
    <w:basedOn w:val="Policepardfaut"/>
    <w:link w:val="En-tte"/>
    <w:uiPriority w:val="99"/>
    <w:rsid w:val="00324AB8"/>
    <w:rPr>
      <w:rFonts w:ascii="Times New Roman" w:eastAsia="Times New Roman" w:hAnsi="Times New Roman" w:cs="Times New Roman"/>
      <w:sz w:val="24"/>
      <w:szCs w:val="24"/>
      <w:lang w:eastAsia="en-US"/>
    </w:rPr>
  </w:style>
  <w:style w:type="paragraph" w:styleId="Paragraphedeliste">
    <w:name w:val="List Paragraph"/>
    <w:basedOn w:val="Normal"/>
    <w:uiPriority w:val="34"/>
    <w:qFormat/>
    <w:rsid w:val="00324AB8"/>
    <w:pPr>
      <w:spacing w:after="0" w:line="240" w:lineRule="auto"/>
      <w:ind w:left="720"/>
      <w:contextualSpacing/>
    </w:pPr>
    <w:rPr>
      <w:rFonts w:ascii="Times New Roman" w:eastAsia="Times New Roman" w:hAnsi="Times New Roman" w:cs="Times New Roman"/>
      <w:sz w:val="24"/>
      <w:szCs w:val="24"/>
      <w:lang w:eastAsia="en-US"/>
    </w:rPr>
  </w:style>
  <w:style w:type="paragraph" w:styleId="Retraitcorpsdetexte2">
    <w:name w:val="Body Text Indent 2"/>
    <w:basedOn w:val="Normal"/>
    <w:link w:val="Retraitcorpsdetexte2Car"/>
    <w:rsid w:val="00324AB8"/>
    <w:pPr>
      <w:spacing w:after="120" w:line="480" w:lineRule="auto"/>
      <w:ind w:left="283"/>
    </w:pPr>
    <w:rPr>
      <w:rFonts w:ascii="Times New Roman" w:eastAsia="Times New Roman" w:hAnsi="Times New Roman" w:cs="Times New Roman"/>
      <w:sz w:val="24"/>
      <w:szCs w:val="24"/>
      <w:lang w:eastAsia="en-US"/>
    </w:rPr>
  </w:style>
  <w:style w:type="character" w:customStyle="1" w:styleId="Retraitcorpsdetexte2Car">
    <w:name w:val="Retrait corps de texte 2 Car"/>
    <w:basedOn w:val="Policepardfaut"/>
    <w:link w:val="Retraitcorpsdetexte2"/>
    <w:rsid w:val="00324AB8"/>
    <w:rPr>
      <w:rFonts w:ascii="Times New Roman" w:eastAsia="Times New Roman" w:hAnsi="Times New Roman" w:cs="Times New Roman"/>
      <w:sz w:val="24"/>
      <w:szCs w:val="24"/>
      <w:lang w:eastAsia="en-US"/>
    </w:rPr>
  </w:style>
  <w:style w:type="paragraph" w:customStyle="1" w:styleId="Default">
    <w:name w:val="Default"/>
    <w:rsid w:val="00324AB8"/>
    <w:pPr>
      <w:autoSpaceDE w:val="0"/>
      <w:autoSpaceDN w:val="0"/>
      <w:adjustRightInd w:val="0"/>
      <w:spacing w:after="0" w:line="240" w:lineRule="auto"/>
    </w:pPr>
    <w:rPr>
      <w:rFonts w:ascii="Corbel" w:eastAsiaTheme="minorHAnsi" w:hAnsi="Corbel" w:cs="Corbel"/>
      <w:color w:val="000000"/>
      <w:sz w:val="24"/>
      <w:szCs w:val="24"/>
      <w:lang w:eastAsia="en-US"/>
    </w:rPr>
  </w:style>
  <w:style w:type="paragraph" w:styleId="Textedebulles">
    <w:name w:val="Balloon Text"/>
    <w:basedOn w:val="Normal"/>
    <w:link w:val="TextedebullesCar"/>
    <w:uiPriority w:val="99"/>
    <w:semiHidden/>
    <w:unhideWhenUsed/>
    <w:rsid w:val="00324A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AB8"/>
    <w:rPr>
      <w:rFonts w:ascii="Tahoma" w:hAnsi="Tahoma" w:cs="Tahoma"/>
      <w:sz w:val="16"/>
      <w:szCs w:val="16"/>
    </w:rPr>
  </w:style>
  <w:style w:type="character" w:customStyle="1" w:styleId="apple-converted-space">
    <w:name w:val="apple-converted-space"/>
    <w:basedOn w:val="Policepardfaut"/>
    <w:rsid w:val="00460B72"/>
  </w:style>
  <w:style w:type="character" w:styleId="Lienhypertexte">
    <w:name w:val="Hyperlink"/>
    <w:basedOn w:val="Policepardfaut"/>
    <w:uiPriority w:val="99"/>
    <w:unhideWhenUsed/>
    <w:rsid w:val="000304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chaouchm62@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uafif.nissaf@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issafba@yahoo.fr" TargetMode="External"/><Relationship Id="rId4" Type="http://schemas.openxmlformats.org/officeDocument/2006/relationships/webSettings" Target="webSettings.xml"/><Relationship Id="rId9" Type="http://schemas.openxmlformats.org/officeDocument/2006/relationships/hyperlink" Target="mailto:sondes.dahnes79@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6.png"/><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6.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7870</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user1</cp:lastModifiedBy>
  <cp:revision>2</cp:revision>
  <cp:lastPrinted>2017-04-14T11:03:00Z</cp:lastPrinted>
  <dcterms:created xsi:type="dcterms:W3CDTF">2018-03-09T08:34:00Z</dcterms:created>
  <dcterms:modified xsi:type="dcterms:W3CDTF">2018-03-09T08:34:00Z</dcterms:modified>
</cp:coreProperties>
</file>